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194" w:type="dxa"/>
        <w:tblLayout w:type="fixed"/>
        <w:tblLook w:val="04A0" w:firstRow="1" w:lastRow="0" w:firstColumn="1" w:lastColumn="0" w:noHBand="0" w:noVBand="1"/>
      </w:tblPr>
      <w:tblGrid>
        <w:gridCol w:w="741"/>
        <w:gridCol w:w="1527"/>
        <w:gridCol w:w="4860"/>
        <w:gridCol w:w="4899"/>
        <w:gridCol w:w="3167"/>
      </w:tblGrid>
      <w:tr w:rsidR="00964494" w:rsidRPr="00FD7318" w:rsidTr="00AE3F91">
        <w:trPr>
          <w:trHeight w:val="526"/>
          <w:tblHeader/>
        </w:trPr>
        <w:tc>
          <w:tcPr>
            <w:tcW w:w="741" w:type="dxa"/>
          </w:tcPr>
          <w:p w:rsidR="00964494" w:rsidRPr="00E93569" w:rsidRDefault="00964494">
            <w:pPr>
              <w:rPr>
                <w:rFonts w:ascii="Book Antiqua" w:hAnsi="Book Antiqua" w:cstheme="minorHAnsi"/>
                <w:b/>
                <w:sz w:val="22"/>
                <w:szCs w:val="22"/>
              </w:rPr>
            </w:pPr>
            <w:r w:rsidRPr="00E93569">
              <w:rPr>
                <w:rFonts w:ascii="Book Antiqua" w:hAnsi="Book Antiqua" w:cstheme="minorHAnsi"/>
                <w:b/>
                <w:sz w:val="22"/>
                <w:szCs w:val="22"/>
              </w:rPr>
              <w:t xml:space="preserve"> Sl. No.</w:t>
            </w:r>
          </w:p>
        </w:tc>
        <w:tc>
          <w:tcPr>
            <w:tcW w:w="1527" w:type="dxa"/>
          </w:tcPr>
          <w:p w:rsidR="00964494" w:rsidRPr="00E93569" w:rsidRDefault="00964494">
            <w:pPr>
              <w:jc w:val="both"/>
              <w:outlineLvl w:val="0"/>
              <w:rPr>
                <w:rFonts w:ascii="Book Antiqua" w:eastAsia="Times New Roman" w:hAnsi="Book Antiqua" w:cs="Times New Roman"/>
                <w:b/>
                <w:sz w:val="22"/>
                <w:szCs w:val="22"/>
                <w:lang w:val="en-US"/>
              </w:rPr>
            </w:pPr>
            <w:r w:rsidRPr="00E93569">
              <w:rPr>
                <w:rFonts w:ascii="Book Antiqua" w:hAnsi="Book Antiqua"/>
                <w:b/>
                <w:color w:val="000000"/>
                <w:sz w:val="22"/>
                <w:szCs w:val="22"/>
              </w:rPr>
              <w:t>Volume/ Section/ Description</w:t>
            </w:r>
          </w:p>
        </w:tc>
        <w:tc>
          <w:tcPr>
            <w:tcW w:w="4860" w:type="dxa"/>
          </w:tcPr>
          <w:p w:rsidR="00964494" w:rsidRPr="00E93569" w:rsidRDefault="00964494">
            <w:pPr>
              <w:jc w:val="both"/>
              <w:outlineLvl w:val="0"/>
              <w:rPr>
                <w:rFonts w:ascii="Book Antiqua" w:eastAsia="Times New Roman" w:hAnsi="Book Antiqua" w:cs="Times New Roman"/>
                <w:b/>
                <w:sz w:val="22"/>
                <w:szCs w:val="22"/>
                <w:lang w:val="en-US"/>
              </w:rPr>
            </w:pPr>
            <w:r w:rsidRPr="00E93569">
              <w:rPr>
                <w:rFonts w:ascii="Book Antiqua" w:hAnsi="Book Antiqua"/>
                <w:b/>
                <w:sz w:val="22"/>
                <w:szCs w:val="22"/>
              </w:rPr>
              <w:t>Clauses</w:t>
            </w:r>
          </w:p>
        </w:tc>
        <w:tc>
          <w:tcPr>
            <w:tcW w:w="4899" w:type="dxa"/>
          </w:tcPr>
          <w:p w:rsidR="00964494" w:rsidRPr="00E93569" w:rsidRDefault="00964494">
            <w:pPr>
              <w:jc w:val="both"/>
              <w:outlineLvl w:val="0"/>
              <w:rPr>
                <w:rFonts w:ascii="Book Antiqua" w:eastAsia="Times New Roman" w:hAnsi="Book Antiqua" w:cs="Times New Roman"/>
                <w:b/>
                <w:sz w:val="22"/>
                <w:szCs w:val="22"/>
                <w:lang w:val="en-US"/>
              </w:rPr>
            </w:pPr>
            <w:r w:rsidRPr="00E93569">
              <w:rPr>
                <w:rFonts w:ascii="Book Antiqua" w:hAnsi="Book Antiqua"/>
                <w:b/>
                <w:sz w:val="22"/>
                <w:szCs w:val="22"/>
              </w:rPr>
              <w:t>Bidder’s Query</w:t>
            </w:r>
          </w:p>
        </w:tc>
        <w:tc>
          <w:tcPr>
            <w:tcW w:w="3167" w:type="dxa"/>
          </w:tcPr>
          <w:p w:rsidR="00964494" w:rsidRPr="00E93569" w:rsidRDefault="00964494">
            <w:pPr>
              <w:jc w:val="both"/>
              <w:outlineLvl w:val="0"/>
              <w:rPr>
                <w:rFonts w:ascii="Book Antiqua" w:eastAsia="Times New Roman" w:hAnsi="Book Antiqua" w:cs="Times New Roman"/>
                <w:b/>
                <w:sz w:val="22"/>
                <w:szCs w:val="22"/>
                <w:lang w:val="en-US"/>
              </w:rPr>
            </w:pPr>
            <w:r w:rsidRPr="00E93569">
              <w:rPr>
                <w:rFonts w:ascii="Book Antiqua" w:hAnsi="Book Antiqua"/>
                <w:b/>
                <w:sz w:val="22"/>
                <w:szCs w:val="22"/>
              </w:rPr>
              <w:t>POWERGRID Reply</w:t>
            </w:r>
          </w:p>
        </w:tc>
      </w:tr>
      <w:tr w:rsidR="00DF3126" w:rsidRPr="00FD7318" w:rsidTr="00E93569">
        <w:trPr>
          <w:trHeight w:val="255"/>
        </w:trPr>
        <w:tc>
          <w:tcPr>
            <w:tcW w:w="15194" w:type="dxa"/>
            <w:gridSpan w:val="5"/>
          </w:tcPr>
          <w:p w:rsidR="00DF3126" w:rsidRPr="00E93569" w:rsidRDefault="00DF3126" w:rsidP="00DF3126">
            <w:pPr>
              <w:autoSpaceDE w:val="0"/>
              <w:autoSpaceDN w:val="0"/>
              <w:adjustRightInd w:val="0"/>
              <w:jc w:val="both"/>
              <w:rPr>
                <w:rFonts w:ascii="Book Antiqua" w:hAnsi="Book Antiqua"/>
                <w:color w:val="000000"/>
                <w:sz w:val="22"/>
                <w:szCs w:val="22"/>
              </w:rPr>
            </w:pPr>
            <w:r w:rsidRPr="00E93569">
              <w:rPr>
                <w:rFonts w:ascii="Book Antiqua" w:hAnsi="Book Antiqua" w:cs="72"/>
                <w:b/>
                <w:bCs/>
                <w:sz w:val="22"/>
                <w:szCs w:val="22"/>
              </w:rPr>
              <w:t xml:space="preserve">Volume-I: </w:t>
            </w:r>
            <w:r w:rsidR="001C1450" w:rsidRPr="00E93569">
              <w:rPr>
                <w:rFonts w:ascii="Book Antiqua" w:hAnsi="Book Antiqua" w:cs="Arial"/>
                <w:b/>
                <w:sz w:val="22"/>
                <w:szCs w:val="22"/>
              </w:rPr>
              <w:t>Condition of Contracts</w:t>
            </w:r>
          </w:p>
        </w:tc>
      </w:tr>
      <w:tr w:rsidR="00E93569" w:rsidRPr="00FD7318" w:rsidTr="00AE3F91">
        <w:trPr>
          <w:trHeight w:val="4163"/>
        </w:trPr>
        <w:tc>
          <w:tcPr>
            <w:tcW w:w="741" w:type="dxa"/>
          </w:tcPr>
          <w:p w:rsidR="00E93569" w:rsidRPr="00E93569" w:rsidRDefault="00E93569" w:rsidP="00E93569">
            <w:pPr>
              <w:pStyle w:val="ListParagraph"/>
              <w:numPr>
                <w:ilvl w:val="0"/>
                <w:numId w:val="44"/>
              </w:numPr>
              <w:jc w:val="center"/>
              <w:rPr>
                <w:rFonts w:ascii="Book Antiqua" w:hAnsi="Book Antiqua" w:cstheme="minorHAnsi"/>
              </w:rPr>
            </w:pPr>
          </w:p>
        </w:tc>
        <w:tc>
          <w:tcPr>
            <w:tcW w:w="1527" w:type="dxa"/>
          </w:tcPr>
          <w:p w:rsidR="00E93569" w:rsidRPr="00E93569" w:rsidRDefault="00E93569" w:rsidP="00E93569">
            <w:pPr>
              <w:jc w:val="both"/>
              <w:rPr>
                <w:rFonts w:ascii="Book Antiqua" w:hAnsi="Book Antiqua" w:cs="Calibri Light"/>
                <w:sz w:val="22"/>
                <w:szCs w:val="22"/>
              </w:rPr>
            </w:pPr>
            <w:r w:rsidRPr="00E93569">
              <w:rPr>
                <w:rFonts w:ascii="Book Antiqua" w:hAnsi="Book Antiqua" w:cs="Calibri Light"/>
                <w:sz w:val="22"/>
                <w:szCs w:val="22"/>
              </w:rPr>
              <w:t>ITB Clause 9.3(c)</w:t>
            </w:r>
            <w:r w:rsidRPr="00E93569">
              <w:rPr>
                <w:rFonts w:ascii="Book Antiqua" w:hAnsi="Book Antiqua" w:cs="Calibri Light"/>
                <w:sz w:val="22"/>
                <w:szCs w:val="22"/>
              </w:rPr>
              <w:t>(iv)</w:t>
            </w:r>
            <w:r w:rsidRPr="00E93569">
              <w:rPr>
                <w:rFonts w:ascii="Book Antiqua" w:hAnsi="Book Antiqua" w:cs="Calibri Light"/>
                <w:sz w:val="22"/>
                <w:szCs w:val="22"/>
              </w:rPr>
              <w:t>, ITB, Section-II</w:t>
            </w:r>
          </w:p>
          <w:p w:rsidR="00E93569" w:rsidRPr="00E93569" w:rsidRDefault="00E93569" w:rsidP="00E93569">
            <w:pPr>
              <w:jc w:val="both"/>
              <w:rPr>
                <w:rFonts w:ascii="Book Antiqua" w:hAnsi="Book Antiqua" w:cs="Calibri Light"/>
                <w:sz w:val="22"/>
                <w:szCs w:val="22"/>
              </w:rPr>
            </w:pPr>
          </w:p>
        </w:tc>
        <w:tc>
          <w:tcPr>
            <w:tcW w:w="4860" w:type="dxa"/>
            <w:vAlign w:val="center"/>
          </w:tcPr>
          <w:p w:rsidR="00E93569" w:rsidRPr="00E93569" w:rsidRDefault="00E93569" w:rsidP="00E93569">
            <w:pPr>
              <w:ind w:left="360" w:hanging="254"/>
              <w:jc w:val="both"/>
              <w:rPr>
                <w:rFonts w:ascii="Book Antiqua" w:hAnsi="Book Antiqua"/>
                <w:sz w:val="22"/>
                <w:szCs w:val="22"/>
              </w:rPr>
            </w:pPr>
            <w:r w:rsidRPr="00E93569">
              <w:rPr>
                <w:rFonts w:ascii="Book Antiqua" w:hAnsi="Book Antiqua"/>
                <w:sz w:val="22"/>
                <w:szCs w:val="22"/>
              </w:rPr>
              <w:t>……………..</w:t>
            </w:r>
          </w:p>
          <w:p w:rsidR="00E93569" w:rsidRPr="00E93569" w:rsidRDefault="00E93569" w:rsidP="00E93569">
            <w:pPr>
              <w:ind w:left="556" w:hanging="630"/>
              <w:jc w:val="both"/>
              <w:rPr>
                <w:rFonts w:ascii="Book Antiqua" w:hAnsi="Book Antiqua"/>
                <w:sz w:val="22"/>
                <w:szCs w:val="22"/>
              </w:rPr>
            </w:pPr>
            <w:r w:rsidRPr="00E93569">
              <w:rPr>
                <w:rFonts w:ascii="Book Antiqua" w:hAnsi="Book Antiqua"/>
                <w:sz w:val="22"/>
                <w:szCs w:val="22"/>
              </w:rPr>
              <w:t>(iv)  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rsidR="00E93569" w:rsidRPr="00E93569" w:rsidRDefault="00E93569" w:rsidP="00E93569">
            <w:pPr>
              <w:ind w:left="556" w:hanging="630"/>
              <w:jc w:val="both"/>
              <w:rPr>
                <w:rFonts w:ascii="Book Antiqua" w:hAnsi="Book Antiqua" w:cs="Calibri Light"/>
                <w:sz w:val="22"/>
                <w:szCs w:val="22"/>
              </w:rPr>
            </w:pPr>
            <w:r w:rsidRPr="00E93569">
              <w:rPr>
                <w:rFonts w:ascii="Book Antiqua" w:hAnsi="Book Antiqua" w:cs="Calibri Light"/>
                <w:sz w:val="22"/>
                <w:szCs w:val="22"/>
              </w:rPr>
              <w:t>……………….</w:t>
            </w:r>
          </w:p>
          <w:p w:rsidR="00E93569" w:rsidRPr="00E93569" w:rsidRDefault="00E93569" w:rsidP="00E93569">
            <w:pPr>
              <w:ind w:left="556" w:hanging="630"/>
              <w:jc w:val="both"/>
              <w:rPr>
                <w:rFonts w:ascii="Book Antiqua" w:hAnsi="Book Antiqua" w:cs="Calibri Light"/>
                <w:sz w:val="22"/>
                <w:szCs w:val="22"/>
              </w:rPr>
            </w:pPr>
          </w:p>
        </w:tc>
        <w:tc>
          <w:tcPr>
            <w:tcW w:w="4899" w:type="dxa"/>
          </w:tcPr>
          <w:p w:rsidR="00E93569" w:rsidRPr="00E93569" w:rsidRDefault="00E93569" w:rsidP="00E93569">
            <w:pPr>
              <w:jc w:val="both"/>
              <w:rPr>
                <w:rFonts w:ascii="Book Antiqua" w:hAnsi="Book Antiqua"/>
                <w:sz w:val="22"/>
                <w:szCs w:val="22"/>
              </w:rPr>
            </w:pPr>
            <w:r w:rsidRPr="00E93569">
              <w:rPr>
                <w:rFonts w:ascii="Book Antiqua" w:hAnsi="Book Antiqua"/>
                <w:sz w:val="22"/>
                <w:szCs w:val="22"/>
              </w:rPr>
              <w:t xml:space="preserve">As per clause, we understand that in case of JV / Consortium bid, each Consortium Partner can raise separate direct Invoice and receive separate direct payment for their respective scope of work. Please confirm our understanding. </w:t>
            </w:r>
          </w:p>
          <w:p w:rsidR="00E93569" w:rsidRPr="00E93569" w:rsidRDefault="00E93569" w:rsidP="00E93569">
            <w:pPr>
              <w:jc w:val="both"/>
              <w:rPr>
                <w:rFonts w:ascii="Book Antiqua" w:hAnsi="Book Antiqua"/>
                <w:color w:val="000000"/>
                <w:sz w:val="22"/>
                <w:szCs w:val="22"/>
              </w:rPr>
            </w:pPr>
          </w:p>
        </w:tc>
        <w:tc>
          <w:tcPr>
            <w:tcW w:w="3167" w:type="dxa"/>
          </w:tcPr>
          <w:p w:rsidR="00E93569" w:rsidRPr="00E93569" w:rsidRDefault="00E93569" w:rsidP="00E93569">
            <w:pPr>
              <w:jc w:val="both"/>
              <w:rPr>
                <w:rFonts w:ascii="Book Antiqua" w:hAnsi="Book Antiqua"/>
                <w:sz w:val="22"/>
                <w:szCs w:val="22"/>
              </w:rPr>
            </w:pPr>
            <w:r w:rsidRPr="00E93569">
              <w:rPr>
                <w:rFonts w:ascii="Book Antiqua" w:hAnsi="Book Antiqua"/>
                <w:sz w:val="22"/>
                <w:szCs w:val="22"/>
              </w:rPr>
              <w:t>Provisions of the Bidding Documents are amply clear.</w:t>
            </w:r>
          </w:p>
        </w:tc>
      </w:tr>
      <w:tr w:rsidR="00E93569" w:rsidRPr="00FD7318" w:rsidTr="00AE3F91">
        <w:trPr>
          <w:trHeight w:val="2482"/>
        </w:trPr>
        <w:tc>
          <w:tcPr>
            <w:tcW w:w="741" w:type="dxa"/>
          </w:tcPr>
          <w:p w:rsidR="00E93569" w:rsidRPr="00E93569" w:rsidRDefault="00E93569" w:rsidP="00E93569">
            <w:pPr>
              <w:pStyle w:val="ListParagraph"/>
              <w:numPr>
                <w:ilvl w:val="0"/>
                <w:numId w:val="44"/>
              </w:numPr>
              <w:jc w:val="center"/>
              <w:rPr>
                <w:rFonts w:ascii="Book Antiqua" w:hAnsi="Book Antiqua" w:cstheme="minorHAnsi"/>
              </w:rPr>
            </w:pPr>
          </w:p>
        </w:tc>
        <w:tc>
          <w:tcPr>
            <w:tcW w:w="1527" w:type="dxa"/>
          </w:tcPr>
          <w:p w:rsidR="00E93569" w:rsidRPr="00E93569" w:rsidRDefault="00E93569" w:rsidP="00E93569">
            <w:pPr>
              <w:jc w:val="both"/>
              <w:rPr>
                <w:rFonts w:ascii="Book Antiqua" w:hAnsi="Book Antiqua" w:cs="Calibri Light"/>
                <w:sz w:val="22"/>
                <w:szCs w:val="22"/>
              </w:rPr>
            </w:pPr>
            <w:r w:rsidRPr="00E93569">
              <w:rPr>
                <w:rFonts w:ascii="Book Antiqua" w:hAnsi="Book Antiqua" w:cs="Calibri Light"/>
                <w:sz w:val="22"/>
                <w:szCs w:val="22"/>
              </w:rPr>
              <w:t>GCC Clause 9.3.1, SCC, Section-V</w:t>
            </w:r>
          </w:p>
          <w:p w:rsidR="00E93569" w:rsidRPr="00E93569" w:rsidRDefault="00E93569" w:rsidP="00E93569">
            <w:pPr>
              <w:jc w:val="both"/>
              <w:rPr>
                <w:rFonts w:ascii="Book Antiqua" w:hAnsi="Book Antiqua" w:cs="Calibri Light"/>
                <w:sz w:val="22"/>
                <w:szCs w:val="22"/>
              </w:rPr>
            </w:pPr>
          </w:p>
          <w:p w:rsidR="00E93569" w:rsidRPr="00E93569" w:rsidRDefault="00E93569" w:rsidP="00E93569">
            <w:pPr>
              <w:jc w:val="both"/>
              <w:rPr>
                <w:rFonts w:ascii="Book Antiqua" w:hAnsi="Book Antiqua" w:cs="Calibri Light"/>
                <w:sz w:val="22"/>
                <w:szCs w:val="22"/>
              </w:rPr>
            </w:pPr>
          </w:p>
          <w:p w:rsidR="00E93569" w:rsidRPr="00E93569" w:rsidRDefault="00E93569" w:rsidP="00E93569">
            <w:pPr>
              <w:jc w:val="both"/>
              <w:rPr>
                <w:rFonts w:ascii="Book Antiqua" w:hAnsi="Book Antiqua" w:cs="Calibri Light"/>
                <w:sz w:val="22"/>
                <w:szCs w:val="22"/>
              </w:rPr>
            </w:pPr>
          </w:p>
          <w:p w:rsidR="00E93569" w:rsidRPr="00E93569" w:rsidRDefault="00E93569" w:rsidP="00E93569">
            <w:pPr>
              <w:jc w:val="both"/>
              <w:rPr>
                <w:rFonts w:ascii="Book Antiqua" w:hAnsi="Book Antiqua" w:cs="Calibri Light"/>
                <w:sz w:val="22"/>
                <w:szCs w:val="22"/>
              </w:rPr>
            </w:pPr>
          </w:p>
          <w:p w:rsidR="00E93569" w:rsidRPr="00E93569" w:rsidRDefault="00E93569" w:rsidP="00E93569">
            <w:pPr>
              <w:jc w:val="both"/>
              <w:rPr>
                <w:rFonts w:ascii="Book Antiqua" w:hAnsi="Book Antiqua" w:cs="Calibri Light"/>
                <w:sz w:val="22"/>
                <w:szCs w:val="22"/>
              </w:rPr>
            </w:pPr>
          </w:p>
          <w:p w:rsidR="00E93569" w:rsidRPr="00E93569" w:rsidRDefault="00E93569" w:rsidP="00E93569">
            <w:pPr>
              <w:jc w:val="both"/>
              <w:rPr>
                <w:rFonts w:ascii="Book Antiqua" w:hAnsi="Book Antiqua" w:cs="Calibri Light"/>
                <w:sz w:val="22"/>
                <w:szCs w:val="22"/>
              </w:rPr>
            </w:pPr>
          </w:p>
          <w:p w:rsidR="00E93569" w:rsidRPr="00E93569" w:rsidRDefault="00E93569" w:rsidP="00E93569">
            <w:pPr>
              <w:jc w:val="both"/>
              <w:rPr>
                <w:rFonts w:ascii="Book Antiqua" w:hAnsi="Book Antiqua" w:cs="Calibri Light"/>
                <w:sz w:val="22"/>
                <w:szCs w:val="22"/>
              </w:rPr>
            </w:pPr>
          </w:p>
          <w:p w:rsidR="00E93569" w:rsidRPr="00E93569" w:rsidRDefault="00E93569" w:rsidP="00E93569">
            <w:pPr>
              <w:jc w:val="both"/>
              <w:rPr>
                <w:rFonts w:ascii="Book Antiqua" w:hAnsi="Book Antiqua" w:cs="Calibri Light"/>
                <w:sz w:val="22"/>
                <w:szCs w:val="22"/>
              </w:rPr>
            </w:pPr>
          </w:p>
          <w:p w:rsidR="00E93569" w:rsidRPr="00E93569" w:rsidRDefault="00E93569" w:rsidP="00E93569">
            <w:pPr>
              <w:jc w:val="both"/>
              <w:rPr>
                <w:rFonts w:ascii="Book Antiqua" w:hAnsi="Book Antiqua" w:cs="Calibri Light"/>
                <w:sz w:val="22"/>
                <w:szCs w:val="22"/>
              </w:rPr>
            </w:pPr>
          </w:p>
          <w:p w:rsidR="00E93569" w:rsidRPr="00E93569" w:rsidRDefault="00E93569" w:rsidP="00E93569">
            <w:pPr>
              <w:jc w:val="both"/>
              <w:rPr>
                <w:rFonts w:ascii="Book Antiqua" w:hAnsi="Book Antiqua" w:cs="Calibri Light"/>
                <w:sz w:val="22"/>
                <w:szCs w:val="22"/>
              </w:rPr>
            </w:pPr>
          </w:p>
          <w:p w:rsidR="00E93569" w:rsidRPr="00E93569" w:rsidRDefault="00E93569" w:rsidP="00E93569">
            <w:pPr>
              <w:jc w:val="both"/>
              <w:rPr>
                <w:rFonts w:ascii="Book Antiqua" w:hAnsi="Book Antiqua" w:cs="Calibri Light"/>
                <w:sz w:val="22"/>
                <w:szCs w:val="22"/>
              </w:rPr>
            </w:pPr>
          </w:p>
          <w:p w:rsidR="00E93569" w:rsidRPr="00E93569" w:rsidRDefault="00E93569" w:rsidP="00E93569">
            <w:pPr>
              <w:jc w:val="both"/>
              <w:rPr>
                <w:rFonts w:ascii="Book Antiqua" w:hAnsi="Book Antiqua" w:cs="Calibri Light"/>
                <w:sz w:val="22"/>
                <w:szCs w:val="22"/>
              </w:rPr>
            </w:pPr>
          </w:p>
          <w:p w:rsidR="00E93569" w:rsidRPr="00E93569" w:rsidRDefault="00E93569" w:rsidP="00E93569">
            <w:pPr>
              <w:jc w:val="both"/>
              <w:rPr>
                <w:rFonts w:ascii="Book Antiqua" w:hAnsi="Book Antiqua" w:cs="Calibri Light"/>
                <w:sz w:val="22"/>
                <w:szCs w:val="22"/>
              </w:rPr>
            </w:pPr>
          </w:p>
          <w:p w:rsidR="00E93569" w:rsidRPr="00E93569" w:rsidRDefault="00E93569" w:rsidP="00E93569">
            <w:pPr>
              <w:jc w:val="both"/>
              <w:rPr>
                <w:rFonts w:ascii="Book Antiqua" w:hAnsi="Book Antiqua" w:cs="Calibri Light"/>
                <w:sz w:val="22"/>
                <w:szCs w:val="22"/>
              </w:rPr>
            </w:pPr>
          </w:p>
          <w:p w:rsidR="00E93569" w:rsidRPr="00E93569" w:rsidRDefault="00E93569" w:rsidP="00E93569">
            <w:pPr>
              <w:jc w:val="both"/>
              <w:rPr>
                <w:rFonts w:ascii="Book Antiqua" w:hAnsi="Book Antiqua" w:cs="Calibri Light"/>
                <w:sz w:val="22"/>
                <w:szCs w:val="22"/>
              </w:rPr>
            </w:pPr>
          </w:p>
          <w:p w:rsidR="00E93569" w:rsidRPr="00E93569" w:rsidRDefault="00E93569" w:rsidP="00E93569">
            <w:pPr>
              <w:jc w:val="both"/>
              <w:rPr>
                <w:rFonts w:ascii="Book Antiqua" w:hAnsi="Book Antiqua" w:cs="Calibri Light"/>
                <w:sz w:val="22"/>
                <w:szCs w:val="22"/>
              </w:rPr>
            </w:pPr>
          </w:p>
          <w:p w:rsidR="00E93569" w:rsidRPr="00E93569" w:rsidRDefault="00E93569" w:rsidP="00E93569">
            <w:pPr>
              <w:jc w:val="both"/>
              <w:rPr>
                <w:rFonts w:ascii="Book Antiqua" w:hAnsi="Book Antiqua" w:cs="Calibri Light"/>
                <w:sz w:val="22"/>
                <w:szCs w:val="22"/>
              </w:rPr>
            </w:pPr>
          </w:p>
          <w:p w:rsidR="00E93569" w:rsidRPr="00E93569" w:rsidRDefault="00E93569" w:rsidP="00E93569">
            <w:pPr>
              <w:jc w:val="both"/>
              <w:rPr>
                <w:rFonts w:ascii="Book Antiqua" w:hAnsi="Book Antiqua" w:cs="Calibri Light"/>
                <w:sz w:val="22"/>
                <w:szCs w:val="22"/>
              </w:rPr>
            </w:pPr>
          </w:p>
        </w:tc>
        <w:tc>
          <w:tcPr>
            <w:tcW w:w="4860" w:type="dxa"/>
            <w:vAlign w:val="center"/>
          </w:tcPr>
          <w:p w:rsidR="00E93569" w:rsidRPr="00E93569" w:rsidRDefault="00E93569" w:rsidP="00E93569">
            <w:pPr>
              <w:jc w:val="both"/>
              <w:rPr>
                <w:rFonts w:ascii="Book Antiqua" w:hAnsi="Book Antiqua"/>
                <w:sz w:val="22"/>
                <w:szCs w:val="22"/>
              </w:rPr>
            </w:pPr>
            <w:r w:rsidRPr="00E93569">
              <w:rPr>
                <w:rFonts w:ascii="Book Antiqua" w:hAnsi="Book Antiqua"/>
                <w:sz w:val="22"/>
                <w:szCs w:val="22"/>
              </w:rPr>
              <w:lastRenderedPageBreak/>
              <w:t>………………….</w:t>
            </w:r>
          </w:p>
          <w:p w:rsidR="00E93569" w:rsidRPr="00E93569" w:rsidRDefault="00E93569" w:rsidP="00E93569">
            <w:pPr>
              <w:jc w:val="both"/>
              <w:rPr>
                <w:rFonts w:ascii="Book Antiqua" w:hAnsi="Book Antiqua"/>
                <w:sz w:val="22"/>
                <w:szCs w:val="22"/>
              </w:rPr>
            </w:pPr>
            <w:r w:rsidRPr="00E93569">
              <w:rPr>
                <w:rFonts w:ascii="Book Antiqua" w:hAnsi="Book Antiqua"/>
                <w:sz w:val="22"/>
                <w:szCs w:val="22"/>
              </w:rPr>
              <w:t>The Contractor shall also arrange additional Performance Security (</w:t>
            </w:r>
            <w:proofErr w:type="spellStart"/>
            <w:r w:rsidRPr="00E93569">
              <w:rPr>
                <w:rFonts w:ascii="Book Antiqua" w:hAnsi="Book Antiqua"/>
                <w:sz w:val="22"/>
                <w:szCs w:val="22"/>
              </w:rPr>
              <w:t>ies</w:t>
            </w:r>
            <w:proofErr w:type="spellEnd"/>
            <w:r w:rsidRPr="00E93569">
              <w:rPr>
                <w:rFonts w:ascii="Book Antiqua" w:hAnsi="Book Antiqua"/>
                <w:sz w:val="22"/>
                <w:szCs w:val="22"/>
              </w:rPr>
              <w:t>), if applicable as per stipulated QR/Clause no. 5 of Joint Deed of Undertaking mentioned at Sl. No. 20, 22 of Section – VI: Sample Forms and Procedures. The said security(</w:t>
            </w:r>
            <w:proofErr w:type="spellStart"/>
            <w:r w:rsidRPr="00E93569">
              <w:rPr>
                <w:rFonts w:ascii="Book Antiqua" w:hAnsi="Book Antiqua"/>
                <w:sz w:val="22"/>
                <w:szCs w:val="22"/>
              </w:rPr>
              <w:t>ies</w:t>
            </w:r>
            <w:proofErr w:type="spellEnd"/>
            <w:r w:rsidRPr="00E93569">
              <w:rPr>
                <w:rFonts w:ascii="Book Antiqua" w:hAnsi="Book Antiqua"/>
                <w:sz w:val="22"/>
                <w:szCs w:val="22"/>
              </w:rPr>
              <w:t>) shall be required to be extended time to time till ninety (90) days beyond the actual Defect Liability Period, as may be required under the Contract</w:t>
            </w:r>
          </w:p>
          <w:p w:rsidR="00E93569" w:rsidRPr="00E93569" w:rsidRDefault="00E93569" w:rsidP="00E93569">
            <w:pPr>
              <w:jc w:val="both"/>
              <w:rPr>
                <w:rFonts w:ascii="Book Antiqua" w:hAnsi="Book Antiqua"/>
                <w:sz w:val="22"/>
                <w:szCs w:val="22"/>
              </w:rPr>
            </w:pPr>
            <w:r w:rsidRPr="00E93569">
              <w:rPr>
                <w:rFonts w:ascii="Book Antiqua" w:hAnsi="Book Antiqua"/>
                <w:sz w:val="22"/>
                <w:szCs w:val="22"/>
              </w:rPr>
              <w:t>………………….</w:t>
            </w:r>
          </w:p>
          <w:p w:rsidR="00E93569" w:rsidRPr="00E93569" w:rsidRDefault="00E93569" w:rsidP="00E93569">
            <w:pPr>
              <w:jc w:val="both"/>
              <w:rPr>
                <w:rFonts w:ascii="Book Antiqua" w:hAnsi="Book Antiqua"/>
                <w:sz w:val="22"/>
                <w:szCs w:val="22"/>
              </w:rPr>
            </w:pPr>
          </w:p>
          <w:p w:rsidR="00E93569" w:rsidRPr="00E93569" w:rsidRDefault="00E93569" w:rsidP="00E93569">
            <w:pPr>
              <w:jc w:val="both"/>
              <w:rPr>
                <w:rFonts w:ascii="Book Antiqua" w:hAnsi="Book Antiqua"/>
                <w:sz w:val="22"/>
                <w:szCs w:val="22"/>
              </w:rPr>
            </w:pPr>
            <w:r w:rsidRPr="00E93569">
              <w:rPr>
                <w:rFonts w:ascii="Book Antiqua" w:hAnsi="Book Antiqua"/>
                <w:sz w:val="22"/>
                <w:szCs w:val="22"/>
              </w:rPr>
              <w:t>1.4 (iii) (Route-IV) of Annexure-A (BDS)</w:t>
            </w:r>
          </w:p>
          <w:p w:rsidR="00E93569" w:rsidRPr="00E93569" w:rsidRDefault="00E93569" w:rsidP="00E93569">
            <w:pPr>
              <w:jc w:val="both"/>
              <w:rPr>
                <w:rFonts w:ascii="Book Antiqua" w:hAnsi="Book Antiqua"/>
                <w:sz w:val="22"/>
                <w:szCs w:val="22"/>
              </w:rPr>
            </w:pPr>
            <w:r w:rsidRPr="00E93569">
              <w:rPr>
                <w:rFonts w:ascii="Book Antiqua" w:hAnsi="Book Antiqua"/>
                <w:sz w:val="22"/>
                <w:szCs w:val="22"/>
              </w:rPr>
              <w:lastRenderedPageBreak/>
              <w:t>(iii)</w:t>
            </w:r>
            <w:r w:rsidRPr="00E93569">
              <w:rPr>
                <w:rFonts w:ascii="Book Antiqua" w:hAnsi="Book Antiqua"/>
                <w:bCs/>
                <w:iCs/>
                <w:sz w:val="22"/>
                <w:szCs w:val="22"/>
              </w:rPr>
              <w:t>A legally enforceable undertaking (jointly with the GIS Manufacturer) (as per enclosed format in Section-VI, Volume-I of bidding document) to guarantee quality, timely supply, performance and warranty obligations as specified for the equipment(s) is submitted along with the bid stating that GIS Manufacturer shall furnish performance guarantee for an amount of two (2) % of the total contract price. This performance guarantee shall be in addition to the Contract Performance security to be submitted by the Bidder.</w:t>
            </w:r>
          </w:p>
          <w:p w:rsidR="00E93569" w:rsidRPr="00E93569" w:rsidRDefault="00E93569" w:rsidP="00E93569">
            <w:pPr>
              <w:jc w:val="both"/>
              <w:rPr>
                <w:rFonts w:ascii="Book Antiqua" w:hAnsi="Book Antiqua" w:cs="Calibri Light"/>
                <w:sz w:val="22"/>
                <w:szCs w:val="22"/>
              </w:rPr>
            </w:pPr>
          </w:p>
        </w:tc>
        <w:tc>
          <w:tcPr>
            <w:tcW w:w="4899" w:type="dxa"/>
          </w:tcPr>
          <w:p w:rsidR="00E93569" w:rsidRPr="00E93569" w:rsidRDefault="00E93569" w:rsidP="00E93569">
            <w:pPr>
              <w:jc w:val="both"/>
              <w:rPr>
                <w:rFonts w:ascii="Book Antiqua" w:eastAsia="SimSun" w:hAnsi="Book Antiqua" w:cs="Times New Roman"/>
                <w:color w:val="000000"/>
                <w:sz w:val="22"/>
                <w:szCs w:val="22"/>
                <w:lang w:val="en-US" w:eastAsia="zh-CN" w:bidi="ar"/>
              </w:rPr>
            </w:pPr>
            <w:r w:rsidRPr="00E93569">
              <w:rPr>
                <w:rFonts w:ascii="Book Antiqua" w:eastAsia="SimSun" w:hAnsi="Book Antiqua" w:cs="Times New Roman"/>
                <w:color w:val="000000"/>
                <w:sz w:val="22"/>
                <w:szCs w:val="22"/>
                <w:lang w:val="en-US" w:eastAsia="zh-CN" w:bidi="ar"/>
              </w:rPr>
              <w:lastRenderedPageBreak/>
              <w:t>In the case of participation via Route-4 by JDU support from a GIS OEM.</w:t>
            </w:r>
          </w:p>
          <w:p w:rsidR="00E93569" w:rsidRPr="00E93569" w:rsidRDefault="00E93569" w:rsidP="00E93569">
            <w:pPr>
              <w:jc w:val="both"/>
              <w:rPr>
                <w:rFonts w:ascii="Book Antiqua" w:eastAsia="SimSun" w:hAnsi="Book Antiqua" w:cs="Times New Roman"/>
                <w:color w:val="000000"/>
                <w:sz w:val="22"/>
                <w:szCs w:val="22"/>
                <w:lang w:val="en-US" w:eastAsia="zh-CN" w:bidi="ar"/>
              </w:rPr>
            </w:pPr>
            <w:r w:rsidRPr="00E93569">
              <w:rPr>
                <w:rFonts w:ascii="Book Antiqua" w:eastAsia="SimSun" w:hAnsi="Book Antiqua" w:cs="Times New Roman"/>
                <w:color w:val="000000"/>
                <w:sz w:val="22"/>
                <w:szCs w:val="22"/>
                <w:lang w:val="en-US" w:eastAsia="zh-CN" w:bidi="ar"/>
              </w:rPr>
              <w:br/>
              <w:t xml:space="preserve">GIS OEM has to submit 2% CPBG corresponding to entire substation value. Currently GIS OEM </w:t>
            </w:r>
            <w:r w:rsidRPr="00E93569">
              <w:rPr>
                <w:rFonts w:ascii="Book Antiqua" w:eastAsia="SimSun" w:hAnsi="Book Antiqua" w:cs="Times New Roman"/>
                <w:color w:val="000000"/>
                <w:sz w:val="22"/>
                <w:szCs w:val="22"/>
                <w:lang w:val="en-US" w:eastAsia="zh-CN" w:bidi="ar"/>
              </w:rPr>
              <w:t>is submitting</w:t>
            </w:r>
            <w:r w:rsidRPr="00E93569">
              <w:rPr>
                <w:rFonts w:ascii="Book Antiqua" w:eastAsia="SimSun" w:hAnsi="Book Antiqua" w:cs="Times New Roman"/>
                <w:color w:val="000000"/>
                <w:sz w:val="22"/>
                <w:szCs w:val="22"/>
                <w:lang w:val="en-US" w:eastAsia="zh-CN" w:bidi="ar"/>
              </w:rPr>
              <w:t xml:space="preserve"> multiple CPBGs against this requirement with different validities as per SCC-Clause no. 39.</w:t>
            </w:r>
            <w:r w:rsidRPr="00E93569">
              <w:rPr>
                <w:rFonts w:ascii="Book Antiqua" w:eastAsia="SimSun" w:hAnsi="Book Antiqua" w:cs="Times New Roman"/>
                <w:color w:val="000000"/>
                <w:sz w:val="22"/>
                <w:szCs w:val="22"/>
                <w:lang w:val="en-US" w:eastAsia="zh-CN" w:bidi="ar"/>
              </w:rPr>
              <w:br/>
            </w:r>
            <w:r w:rsidRPr="00E93569">
              <w:rPr>
                <w:rFonts w:ascii="Book Antiqua" w:eastAsia="SimSun" w:hAnsi="Book Antiqua" w:cs="Times New Roman"/>
                <w:color w:val="000000"/>
                <w:sz w:val="22"/>
                <w:szCs w:val="22"/>
                <w:lang w:val="en-US" w:eastAsia="zh-CN" w:bidi="ar"/>
              </w:rPr>
              <w:br/>
              <w:t xml:space="preserve">Our request is that GIS OEM should be allowed to submit only 1 CPBG with validity equivalent to GIS equipment Defect </w:t>
            </w:r>
            <w:proofErr w:type="spellStart"/>
            <w:r w:rsidRPr="00E93569">
              <w:rPr>
                <w:rFonts w:ascii="Book Antiqua" w:eastAsia="SimSun" w:hAnsi="Book Antiqua" w:cs="Times New Roman"/>
                <w:color w:val="000000"/>
                <w:sz w:val="22"/>
                <w:szCs w:val="22"/>
                <w:lang w:val="en-US" w:eastAsia="zh-CN" w:bidi="ar"/>
              </w:rPr>
              <w:t>Liablity</w:t>
            </w:r>
            <w:proofErr w:type="spellEnd"/>
            <w:r w:rsidRPr="00E93569">
              <w:rPr>
                <w:rFonts w:ascii="Book Antiqua" w:eastAsia="SimSun" w:hAnsi="Book Antiqua" w:cs="Times New Roman"/>
                <w:color w:val="000000"/>
                <w:sz w:val="22"/>
                <w:szCs w:val="22"/>
                <w:lang w:val="en-US" w:eastAsia="zh-CN" w:bidi="ar"/>
              </w:rPr>
              <w:t xml:space="preserve"> Period +90 days.</w:t>
            </w:r>
            <w:r w:rsidRPr="00E93569">
              <w:rPr>
                <w:rFonts w:ascii="Book Antiqua" w:eastAsia="SimSun" w:hAnsi="Book Antiqua" w:cs="Times New Roman"/>
                <w:color w:val="000000"/>
                <w:sz w:val="22"/>
                <w:szCs w:val="22"/>
                <w:lang w:val="en-US" w:eastAsia="zh-CN" w:bidi="ar"/>
              </w:rPr>
              <w:br/>
            </w:r>
            <w:r w:rsidRPr="00E93569">
              <w:rPr>
                <w:rFonts w:ascii="Book Antiqua" w:eastAsia="SimSun" w:hAnsi="Book Antiqua" w:cs="Times New Roman"/>
                <w:color w:val="000000"/>
                <w:sz w:val="22"/>
                <w:szCs w:val="22"/>
                <w:lang w:val="en-US" w:eastAsia="zh-CN" w:bidi="ar"/>
              </w:rPr>
              <w:lastRenderedPageBreak/>
              <w:br/>
              <w:t>Kindly accept the same.</w:t>
            </w:r>
          </w:p>
          <w:p w:rsidR="00E93569" w:rsidRPr="00E93569" w:rsidRDefault="00E93569" w:rsidP="00E93569">
            <w:pPr>
              <w:jc w:val="both"/>
              <w:rPr>
                <w:rFonts w:ascii="Book Antiqua" w:hAnsi="Book Antiqua"/>
                <w:color w:val="000000"/>
                <w:sz w:val="22"/>
                <w:szCs w:val="22"/>
              </w:rPr>
            </w:pPr>
          </w:p>
        </w:tc>
        <w:tc>
          <w:tcPr>
            <w:tcW w:w="3167" w:type="dxa"/>
          </w:tcPr>
          <w:p w:rsidR="00E93569" w:rsidRPr="00E93569" w:rsidRDefault="00E93569" w:rsidP="00E93569">
            <w:pPr>
              <w:jc w:val="both"/>
              <w:rPr>
                <w:rFonts w:ascii="Book Antiqua" w:hAnsi="Book Antiqua"/>
                <w:sz w:val="22"/>
                <w:szCs w:val="22"/>
              </w:rPr>
            </w:pPr>
            <w:r w:rsidRPr="00E93569">
              <w:rPr>
                <w:rFonts w:ascii="Book Antiqua" w:hAnsi="Book Antiqua"/>
                <w:sz w:val="22"/>
                <w:szCs w:val="22"/>
              </w:rPr>
              <w:lastRenderedPageBreak/>
              <w:t>Provisions of the Bidding Documents are amply clear.</w:t>
            </w:r>
          </w:p>
        </w:tc>
      </w:tr>
      <w:tr w:rsidR="00E93569" w:rsidRPr="00FD7318" w:rsidTr="00AE3F91">
        <w:trPr>
          <w:trHeight w:val="329"/>
        </w:trPr>
        <w:tc>
          <w:tcPr>
            <w:tcW w:w="15194" w:type="dxa"/>
            <w:gridSpan w:val="5"/>
          </w:tcPr>
          <w:p w:rsidR="00E93569" w:rsidRPr="00E93569" w:rsidRDefault="00E93569" w:rsidP="00E93569">
            <w:pPr>
              <w:autoSpaceDE w:val="0"/>
              <w:autoSpaceDN w:val="0"/>
              <w:adjustRightInd w:val="0"/>
              <w:jc w:val="both"/>
              <w:rPr>
                <w:rFonts w:ascii="Book Antiqua" w:hAnsi="Book Antiqua"/>
                <w:color w:val="000000"/>
                <w:sz w:val="22"/>
                <w:szCs w:val="22"/>
              </w:rPr>
            </w:pPr>
            <w:r w:rsidRPr="00E93569">
              <w:rPr>
                <w:rFonts w:ascii="Book Antiqua" w:hAnsi="Book Antiqua" w:cs="72"/>
                <w:b/>
                <w:bCs/>
                <w:sz w:val="22"/>
                <w:szCs w:val="22"/>
              </w:rPr>
              <w:t xml:space="preserve">Volume-II: </w:t>
            </w:r>
            <w:r w:rsidRPr="00E93569">
              <w:rPr>
                <w:rFonts w:ascii="Book Antiqua" w:hAnsi="Book Antiqua" w:cs="Arial"/>
                <w:b/>
                <w:sz w:val="22"/>
                <w:szCs w:val="22"/>
              </w:rPr>
              <w:t>Technical Specifications</w:t>
            </w:r>
          </w:p>
        </w:tc>
      </w:tr>
      <w:tr w:rsidR="00E93569" w:rsidRPr="00FD7318" w:rsidTr="00AE3F91">
        <w:trPr>
          <w:trHeight w:val="3983"/>
        </w:trPr>
        <w:tc>
          <w:tcPr>
            <w:tcW w:w="741" w:type="dxa"/>
          </w:tcPr>
          <w:p w:rsidR="00E93569" w:rsidRPr="00E93569" w:rsidRDefault="00E93569" w:rsidP="00E93569">
            <w:pPr>
              <w:pStyle w:val="ListParagraph"/>
              <w:numPr>
                <w:ilvl w:val="0"/>
                <w:numId w:val="44"/>
              </w:numPr>
              <w:jc w:val="center"/>
              <w:rPr>
                <w:rFonts w:ascii="Book Antiqua" w:hAnsi="Book Antiqua" w:cstheme="minorHAnsi"/>
              </w:rPr>
            </w:pPr>
          </w:p>
        </w:tc>
        <w:tc>
          <w:tcPr>
            <w:tcW w:w="1527" w:type="dxa"/>
          </w:tcPr>
          <w:p w:rsidR="00E93569" w:rsidRPr="00E93569" w:rsidRDefault="00E93569" w:rsidP="00E93569">
            <w:pPr>
              <w:rPr>
                <w:rFonts w:ascii="Book Antiqua" w:hAnsi="Book Antiqua" w:cs="Times New Roman"/>
                <w:sz w:val="22"/>
                <w:szCs w:val="22"/>
              </w:rPr>
            </w:pPr>
            <w:r w:rsidRPr="00E93569">
              <w:rPr>
                <w:rFonts w:ascii="Book Antiqua" w:hAnsi="Book Antiqua" w:cs="Times New Roman"/>
                <w:sz w:val="22"/>
                <w:szCs w:val="22"/>
              </w:rPr>
              <w:t>1.0 Section-Project (Part-A) V2 R0</w:t>
            </w:r>
          </w:p>
          <w:p w:rsidR="00E93569" w:rsidRPr="00E93569" w:rsidRDefault="00E93569" w:rsidP="00E93569">
            <w:pPr>
              <w:rPr>
                <w:rFonts w:ascii="Book Antiqua" w:hAnsi="Book Antiqua" w:cs="Times New Roman"/>
                <w:sz w:val="22"/>
                <w:szCs w:val="22"/>
              </w:rPr>
            </w:pPr>
            <w:r w:rsidRPr="00E93569">
              <w:rPr>
                <w:rFonts w:ascii="Book Antiqua" w:hAnsi="Book Antiqua" w:cs="Times New Roman"/>
                <w:sz w:val="22"/>
                <w:szCs w:val="22"/>
              </w:rPr>
              <w:t>Cl. 11.2</w:t>
            </w:r>
          </w:p>
          <w:p w:rsidR="00E93569" w:rsidRPr="00E93569" w:rsidRDefault="00E93569" w:rsidP="00E93569">
            <w:pPr>
              <w:rPr>
                <w:rFonts w:ascii="Book Antiqua" w:eastAsia="Times New Roman" w:hAnsi="Book Antiqua" w:cs="Times New Roman"/>
                <w:sz w:val="22"/>
                <w:szCs w:val="22"/>
                <w:lang w:val="en-US" w:bidi="hi-IN"/>
              </w:rPr>
            </w:pPr>
            <w:r w:rsidRPr="00E93569">
              <w:rPr>
                <w:rFonts w:ascii="Book Antiqua" w:hAnsi="Book Antiqua" w:cs="Times New Roman"/>
                <w:sz w:val="22"/>
                <w:szCs w:val="22"/>
              </w:rPr>
              <w:t>CT data</w:t>
            </w:r>
          </w:p>
        </w:tc>
        <w:tc>
          <w:tcPr>
            <w:tcW w:w="4860" w:type="dxa"/>
          </w:tcPr>
          <w:p w:rsidR="00E93569" w:rsidRPr="00E93569" w:rsidRDefault="00E93569" w:rsidP="00E93569">
            <w:pPr>
              <w:jc w:val="both"/>
              <w:textAlignment w:val="top"/>
              <w:rPr>
                <w:rFonts w:ascii="Book Antiqua" w:hAnsi="Book Antiqua" w:cs="Times New Roman"/>
                <w:color w:val="000000"/>
                <w:sz w:val="22"/>
                <w:szCs w:val="22"/>
                <w:lang w:val="en-US"/>
              </w:rPr>
            </w:pPr>
            <w:r w:rsidRPr="00E93569">
              <w:rPr>
                <w:rFonts w:ascii="Book Antiqua" w:eastAsia="SimSun" w:hAnsi="Book Antiqua" w:cs="Times New Roman"/>
                <w:color w:val="000000"/>
                <w:sz w:val="22"/>
                <w:szCs w:val="22"/>
                <w:lang w:val="en-US" w:eastAsia="zh-CN" w:bidi="ar"/>
              </w:rPr>
              <w:t xml:space="preserve">Requirements of 245kV, 2500A, 120% extended rating current transformer shall be as follows: </w:t>
            </w:r>
            <w:r w:rsidRPr="00E93569">
              <w:rPr>
                <w:rFonts w:ascii="Book Antiqua" w:eastAsia="SimSun" w:hAnsi="Book Antiqua" w:cs="Times New Roman"/>
                <w:color w:val="000000"/>
                <w:sz w:val="22"/>
                <w:szCs w:val="22"/>
                <w:lang w:val="en-US" w:eastAsia="zh-CN" w:bidi="ar"/>
              </w:rPr>
              <w:br/>
              <w:t xml:space="preserve">a) Primary ratio taps: 2500-1600-800/1-1-1A </w:t>
            </w:r>
            <w:r w:rsidRPr="00E93569">
              <w:rPr>
                <w:rFonts w:ascii="Book Antiqua" w:eastAsia="SimSun" w:hAnsi="Book Antiqua" w:cs="Times New Roman"/>
                <w:color w:val="000000"/>
                <w:sz w:val="22"/>
                <w:szCs w:val="22"/>
                <w:lang w:val="en-US" w:eastAsia="zh-CN" w:bidi="ar"/>
              </w:rPr>
              <w:br/>
              <w:t xml:space="preserve">b) Class: PX, 0.2S, PX, PX </w:t>
            </w:r>
            <w:r w:rsidRPr="00E93569">
              <w:rPr>
                <w:rFonts w:ascii="Book Antiqua" w:eastAsia="SimSun" w:hAnsi="Book Antiqua" w:cs="Times New Roman"/>
                <w:color w:val="000000"/>
                <w:sz w:val="22"/>
                <w:szCs w:val="22"/>
                <w:lang w:val="en-US" w:eastAsia="zh-CN" w:bidi="ar"/>
              </w:rPr>
              <w:br/>
              <w:t xml:space="preserve">c) Core: 4 </w:t>
            </w:r>
            <w:r w:rsidRPr="00E93569">
              <w:rPr>
                <w:rFonts w:ascii="Book Antiqua" w:eastAsia="SimSun" w:hAnsi="Book Antiqua" w:cs="Times New Roman"/>
                <w:color w:val="000000"/>
                <w:sz w:val="22"/>
                <w:szCs w:val="22"/>
                <w:lang w:val="en-US" w:eastAsia="zh-CN" w:bidi="ar"/>
              </w:rPr>
              <w:br/>
              <w:t xml:space="preserve">d) Min. Knee point voltage </w:t>
            </w:r>
            <w:proofErr w:type="spellStart"/>
            <w:r w:rsidRPr="00E93569">
              <w:rPr>
                <w:rFonts w:ascii="Book Antiqua" w:eastAsia="SimSun" w:hAnsi="Book Antiqua" w:cs="Times New Roman"/>
                <w:color w:val="000000"/>
                <w:sz w:val="22"/>
                <w:szCs w:val="22"/>
                <w:lang w:val="en-US" w:eastAsia="zh-CN" w:bidi="ar"/>
              </w:rPr>
              <w:t>Vk</w:t>
            </w:r>
            <w:proofErr w:type="spellEnd"/>
            <w:r w:rsidRPr="00E93569">
              <w:rPr>
                <w:rFonts w:ascii="Book Antiqua" w:eastAsia="SimSun" w:hAnsi="Book Antiqua" w:cs="Times New Roman"/>
                <w:color w:val="000000"/>
                <w:sz w:val="22"/>
                <w:szCs w:val="22"/>
                <w:lang w:val="en-US" w:eastAsia="zh-CN" w:bidi="ar"/>
              </w:rPr>
              <w:t xml:space="preserve">: 2500-1600-800V for 2500/1600/800 A tapping in all cores except metering. </w:t>
            </w:r>
            <w:r w:rsidRPr="00E93569">
              <w:rPr>
                <w:rFonts w:ascii="Book Antiqua" w:eastAsia="SimSun" w:hAnsi="Book Antiqua" w:cs="Times New Roman"/>
                <w:color w:val="000000"/>
                <w:sz w:val="22"/>
                <w:szCs w:val="22"/>
                <w:lang w:val="en-US" w:eastAsia="zh-CN" w:bidi="ar"/>
              </w:rPr>
              <w:br/>
              <w:t xml:space="preserve">e) Burden: 20VA (For Metering core) </w:t>
            </w:r>
            <w:r w:rsidRPr="00E93569">
              <w:rPr>
                <w:rFonts w:ascii="Book Antiqua" w:eastAsia="SimSun" w:hAnsi="Book Antiqua" w:cs="Times New Roman"/>
                <w:color w:val="000000"/>
                <w:sz w:val="22"/>
                <w:szCs w:val="22"/>
                <w:lang w:val="en-US" w:eastAsia="zh-CN" w:bidi="ar"/>
              </w:rPr>
              <w:br/>
              <w:t xml:space="preserve">f) Max. CT sec. winding resistance </w:t>
            </w:r>
            <w:proofErr w:type="spellStart"/>
            <w:r w:rsidRPr="00E93569">
              <w:rPr>
                <w:rFonts w:ascii="Book Antiqua" w:eastAsia="SimSun" w:hAnsi="Book Antiqua" w:cs="Times New Roman"/>
                <w:color w:val="000000"/>
                <w:sz w:val="22"/>
                <w:szCs w:val="22"/>
                <w:lang w:val="en-US" w:eastAsia="zh-CN" w:bidi="ar"/>
              </w:rPr>
              <w:t>Rct</w:t>
            </w:r>
            <w:proofErr w:type="spellEnd"/>
            <w:r w:rsidRPr="00E93569">
              <w:rPr>
                <w:rFonts w:ascii="Book Antiqua" w:eastAsia="SimSun" w:hAnsi="Book Antiqua" w:cs="Times New Roman"/>
                <w:color w:val="000000"/>
                <w:sz w:val="22"/>
                <w:szCs w:val="22"/>
                <w:lang w:val="en-US" w:eastAsia="zh-CN" w:bidi="ar"/>
              </w:rPr>
              <w:t xml:space="preserve"> (ohms): 12.5/8/4 for 2500/1600/800 tapping </w:t>
            </w:r>
            <w:r w:rsidRPr="00E93569">
              <w:rPr>
                <w:rFonts w:ascii="Book Antiqua" w:eastAsia="SimSun" w:hAnsi="Book Antiqua" w:cs="Times New Roman"/>
                <w:color w:val="000000"/>
                <w:sz w:val="22"/>
                <w:szCs w:val="22"/>
                <w:lang w:val="en-US" w:eastAsia="zh-CN" w:bidi="ar"/>
              </w:rPr>
              <w:br/>
              <w:t xml:space="preserve">g) Max. excitation current at </w:t>
            </w:r>
            <w:proofErr w:type="spellStart"/>
            <w:r w:rsidRPr="00E93569">
              <w:rPr>
                <w:rFonts w:ascii="Book Antiqua" w:eastAsia="SimSun" w:hAnsi="Book Antiqua" w:cs="Times New Roman"/>
                <w:color w:val="000000"/>
                <w:sz w:val="22"/>
                <w:szCs w:val="22"/>
                <w:lang w:val="en-US" w:eastAsia="zh-CN" w:bidi="ar"/>
              </w:rPr>
              <w:t>Vk</w:t>
            </w:r>
            <w:proofErr w:type="spellEnd"/>
            <w:r w:rsidRPr="00E93569">
              <w:rPr>
                <w:rFonts w:ascii="Book Antiqua" w:eastAsia="SimSun" w:hAnsi="Book Antiqua" w:cs="Times New Roman"/>
                <w:color w:val="000000"/>
                <w:sz w:val="22"/>
                <w:szCs w:val="22"/>
                <w:lang w:val="en-US" w:eastAsia="zh-CN" w:bidi="ar"/>
              </w:rPr>
              <w:t xml:space="preserve"> (Imax in mA): 16/25/50 for 2500/1600/800 tapping</w:t>
            </w:r>
          </w:p>
        </w:tc>
        <w:tc>
          <w:tcPr>
            <w:tcW w:w="4899" w:type="dxa"/>
          </w:tcPr>
          <w:p w:rsidR="00E93569" w:rsidRPr="00E93569" w:rsidRDefault="00E93569" w:rsidP="00E93569">
            <w:pPr>
              <w:jc w:val="both"/>
              <w:textAlignment w:val="top"/>
              <w:rPr>
                <w:rFonts w:ascii="Book Antiqua" w:hAnsi="Book Antiqua" w:cs="Times New Roman"/>
                <w:color w:val="000000"/>
                <w:sz w:val="22"/>
                <w:szCs w:val="22"/>
                <w:lang w:val="en-US"/>
              </w:rPr>
            </w:pPr>
            <w:r w:rsidRPr="00E93569">
              <w:rPr>
                <w:rFonts w:ascii="Book Antiqua" w:eastAsia="SimSun" w:hAnsi="Book Antiqua" w:cs="Times New Roman"/>
                <w:color w:val="000000"/>
                <w:sz w:val="22"/>
                <w:szCs w:val="22"/>
                <w:lang w:val="en-US" w:eastAsia="zh-CN" w:bidi="ar"/>
              </w:rPr>
              <w:t>We would like to inform you that, the Bus coupler bay is having rating of 2500A, hence the adjacent CT data mentioned in Cl. 11.2 shall be only applicable for Bus coupler bay and not for ICT bay &amp; Transmission line bay. For TL bay &amp; ICT bay we understand to consider the CT data as per GIS Specification Rev5A Table 3C.</w:t>
            </w:r>
            <w:r w:rsidRPr="00E93569">
              <w:rPr>
                <w:rFonts w:ascii="Book Antiqua" w:eastAsia="SimSun" w:hAnsi="Book Antiqua" w:cs="Times New Roman"/>
                <w:color w:val="000000"/>
                <w:sz w:val="22"/>
                <w:szCs w:val="22"/>
                <w:lang w:val="en-US" w:eastAsia="zh-CN" w:bidi="ar"/>
              </w:rPr>
              <w:br/>
            </w:r>
            <w:r w:rsidRPr="00E93569">
              <w:rPr>
                <w:rFonts w:ascii="Book Antiqua" w:eastAsia="SimSun" w:hAnsi="Book Antiqua" w:cs="Times New Roman"/>
                <w:color w:val="000000"/>
                <w:sz w:val="22"/>
                <w:szCs w:val="22"/>
                <w:lang w:val="en-US" w:eastAsia="zh-CN" w:bidi="ar"/>
              </w:rPr>
              <w:br/>
              <w:t>Please confirm.</w:t>
            </w:r>
          </w:p>
        </w:tc>
        <w:tc>
          <w:tcPr>
            <w:tcW w:w="3167" w:type="dxa"/>
          </w:tcPr>
          <w:p w:rsidR="00E93569" w:rsidRPr="00E93569" w:rsidRDefault="00E93569" w:rsidP="00E93569">
            <w:pPr>
              <w:rPr>
                <w:rFonts w:ascii="Book Antiqua" w:eastAsia="Times New Roman" w:hAnsi="Book Antiqua" w:cs="Calibri"/>
                <w:color w:val="000000"/>
                <w:sz w:val="22"/>
                <w:szCs w:val="22"/>
                <w:lang w:val="en-US" w:bidi="hi-IN"/>
              </w:rPr>
            </w:pPr>
            <w:r w:rsidRPr="00E93569">
              <w:rPr>
                <w:rFonts w:ascii="Book Antiqua" w:eastAsia="Times New Roman" w:hAnsi="Book Antiqua" w:cs="Calibri"/>
                <w:color w:val="000000"/>
                <w:sz w:val="22"/>
                <w:szCs w:val="22"/>
                <w:lang w:val="en-US" w:bidi="hi-IN"/>
              </w:rPr>
              <w:t>Confirmed.</w:t>
            </w:r>
          </w:p>
        </w:tc>
      </w:tr>
      <w:tr w:rsidR="00E93569" w:rsidRPr="00FD7318" w:rsidTr="00AE3F91">
        <w:trPr>
          <w:trHeight w:val="1925"/>
        </w:trPr>
        <w:tc>
          <w:tcPr>
            <w:tcW w:w="741" w:type="dxa"/>
          </w:tcPr>
          <w:p w:rsidR="00E93569" w:rsidRPr="00E93569" w:rsidRDefault="00E93569" w:rsidP="00E93569">
            <w:pPr>
              <w:pStyle w:val="ListParagraph"/>
              <w:numPr>
                <w:ilvl w:val="0"/>
                <w:numId w:val="44"/>
              </w:numPr>
              <w:jc w:val="center"/>
              <w:rPr>
                <w:rFonts w:ascii="Book Antiqua" w:hAnsi="Book Antiqua" w:cstheme="minorHAnsi"/>
              </w:rPr>
            </w:pPr>
          </w:p>
        </w:tc>
        <w:tc>
          <w:tcPr>
            <w:tcW w:w="1527" w:type="dxa"/>
          </w:tcPr>
          <w:p w:rsidR="00E93569" w:rsidRPr="00E93569" w:rsidRDefault="00E93569" w:rsidP="00E93569">
            <w:pPr>
              <w:jc w:val="center"/>
              <w:rPr>
                <w:rFonts w:ascii="Book Antiqua" w:hAnsi="Book Antiqua"/>
                <w:sz w:val="22"/>
                <w:szCs w:val="22"/>
              </w:rPr>
            </w:pPr>
            <w:r w:rsidRPr="00E93569">
              <w:rPr>
                <w:rFonts w:ascii="Book Antiqua" w:hAnsi="Book Antiqua"/>
                <w:sz w:val="22"/>
                <w:szCs w:val="22"/>
              </w:rPr>
              <w:t>Tender Layout</w:t>
            </w:r>
          </w:p>
        </w:tc>
        <w:tc>
          <w:tcPr>
            <w:tcW w:w="4860" w:type="dxa"/>
          </w:tcPr>
          <w:p w:rsidR="00E93569" w:rsidRPr="00E93569" w:rsidRDefault="00E93569" w:rsidP="00E93569">
            <w:pPr>
              <w:textAlignment w:val="top"/>
              <w:rPr>
                <w:rFonts w:ascii="Book Antiqua" w:eastAsia="SimSun" w:hAnsi="Book Antiqua"/>
                <w:color w:val="000000"/>
                <w:sz w:val="22"/>
                <w:szCs w:val="22"/>
                <w:lang w:val="en-US" w:eastAsia="zh-CN"/>
              </w:rPr>
            </w:pPr>
            <w:r w:rsidRPr="00E93569">
              <w:rPr>
                <w:rFonts w:ascii="Book Antiqua" w:eastAsia="SimSun" w:hAnsi="Book Antiqua"/>
                <w:color w:val="000000"/>
                <w:sz w:val="22"/>
                <w:szCs w:val="22"/>
                <w:lang w:val="en-US" w:eastAsia="zh-CN"/>
              </w:rPr>
              <w:t>Tender Layout</w:t>
            </w:r>
          </w:p>
        </w:tc>
        <w:tc>
          <w:tcPr>
            <w:tcW w:w="4899" w:type="dxa"/>
          </w:tcPr>
          <w:p w:rsidR="00E93569" w:rsidRPr="00E93569" w:rsidRDefault="00E93569" w:rsidP="00E93569">
            <w:pPr>
              <w:jc w:val="both"/>
              <w:textAlignment w:val="top"/>
              <w:rPr>
                <w:rFonts w:ascii="Book Antiqua" w:eastAsia="SimSun" w:hAnsi="Book Antiqua"/>
                <w:color w:val="000000"/>
                <w:sz w:val="22"/>
                <w:szCs w:val="22"/>
                <w:lang w:val="en-US" w:eastAsia="zh-CN"/>
              </w:rPr>
            </w:pPr>
            <w:r w:rsidRPr="00E93569">
              <w:rPr>
                <w:rFonts w:ascii="Book Antiqua" w:eastAsia="SimSun" w:hAnsi="Book Antiqua"/>
                <w:color w:val="000000"/>
                <w:sz w:val="22"/>
                <w:szCs w:val="22"/>
                <w:lang w:val="en-US" w:eastAsia="zh-CN"/>
              </w:rPr>
              <w:t xml:space="preserve">Please let us know whether Control cum 33KV switchgear building is single </w:t>
            </w:r>
            <w:proofErr w:type="spellStart"/>
            <w:r w:rsidRPr="00E93569">
              <w:rPr>
                <w:rFonts w:ascii="Book Antiqua" w:eastAsia="SimSun" w:hAnsi="Book Antiqua"/>
                <w:color w:val="000000"/>
                <w:sz w:val="22"/>
                <w:szCs w:val="22"/>
                <w:lang w:val="en-US" w:eastAsia="zh-CN"/>
              </w:rPr>
              <w:t>storey</w:t>
            </w:r>
            <w:proofErr w:type="spellEnd"/>
            <w:r w:rsidRPr="00E93569">
              <w:rPr>
                <w:rFonts w:ascii="Book Antiqua" w:eastAsia="SimSun" w:hAnsi="Book Antiqua"/>
                <w:color w:val="000000"/>
                <w:sz w:val="22"/>
                <w:szCs w:val="22"/>
                <w:lang w:val="en-US" w:eastAsia="zh-CN"/>
              </w:rPr>
              <w:t xml:space="preserve"> building OR more than one </w:t>
            </w:r>
            <w:proofErr w:type="spellStart"/>
            <w:r w:rsidRPr="00E93569">
              <w:rPr>
                <w:rFonts w:ascii="Book Antiqua" w:eastAsia="SimSun" w:hAnsi="Book Antiqua"/>
                <w:color w:val="000000"/>
                <w:sz w:val="22"/>
                <w:szCs w:val="22"/>
                <w:lang w:val="en-US" w:eastAsia="zh-CN"/>
              </w:rPr>
              <w:t>storey</w:t>
            </w:r>
            <w:proofErr w:type="spellEnd"/>
            <w:r w:rsidRPr="00E93569">
              <w:rPr>
                <w:rFonts w:ascii="Book Antiqua" w:eastAsia="SimSun" w:hAnsi="Book Antiqua"/>
                <w:color w:val="000000"/>
                <w:sz w:val="22"/>
                <w:szCs w:val="22"/>
                <w:lang w:val="en-US" w:eastAsia="zh-CN"/>
              </w:rPr>
              <w:t xml:space="preserve"> building. Pls clarify. </w:t>
            </w:r>
          </w:p>
        </w:tc>
        <w:tc>
          <w:tcPr>
            <w:tcW w:w="3167" w:type="dxa"/>
          </w:tcPr>
          <w:p w:rsidR="00E93569" w:rsidRDefault="00E93569" w:rsidP="00E93569">
            <w:pPr>
              <w:jc w:val="both"/>
              <w:rPr>
                <w:rFonts w:ascii="Book Antiqua" w:eastAsia="SimSun" w:hAnsi="Book Antiqua"/>
                <w:color w:val="000000"/>
                <w:sz w:val="22"/>
                <w:szCs w:val="22"/>
                <w:lang w:val="en-US" w:eastAsia="zh-CN"/>
              </w:rPr>
            </w:pPr>
            <w:r w:rsidRPr="00E93569">
              <w:rPr>
                <w:rFonts w:ascii="Book Antiqua" w:eastAsia="SimSun" w:hAnsi="Book Antiqua"/>
                <w:color w:val="000000"/>
                <w:sz w:val="22"/>
                <w:szCs w:val="22"/>
                <w:lang w:val="en-US" w:eastAsia="zh-CN"/>
              </w:rPr>
              <w:t xml:space="preserve">Design and drawing of Control Room Building cum 33kV Indoor Switchgear Room is in bidder’s scope. It can be either single or double </w:t>
            </w:r>
            <w:proofErr w:type="spellStart"/>
            <w:r w:rsidRPr="00E93569">
              <w:rPr>
                <w:rFonts w:ascii="Book Antiqua" w:eastAsia="SimSun" w:hAnsi="Book Antiqua"/>
                <w:color w:val="000000"/>
                <w:sz w:val="22"/>
                <w:szCs w:val="22"/>
                <w:lang w:val="en-US" w:eastAsia="zh-CN"/>
              </w:rPr>
              <w:t>storey</w:t>
            </w:r>
            <w:proofErr w:type="spellEnd"/>
            <w:r w:rsidRPr="00E93569">
              <w:rPr>
                <w:rFonts w:ascii="Book Antiqua" w:eastAsia="SimSun" w:hAnsi="Book Antiqua"/>
                <w:color w:val="000000"/>
                <w:sz w:val="22"/>
                <w:szCs w:val="22"/>
                <w:lang w:val="en-US" w:eastAsia="zh-CN"/>
              </w:rPr>
              <w:t xml:space="preserve"> and the same shall be decided during detail engineering.</w:t>
            </w:r>
          </w:p>
          <w:p w:rsidR="00AE3F91" w:rsidRPr="00E93569" w:rsidRDefault="00AE3F91" w:rsidP="00E93569">
            <w:pPr>
              <w:jc w:val="both"/>
              <w:rPr>
                <w:rFonts w:ascii="Book Antiqua" w:eastAsia="Times New Roman" w:hAnsi="Book Antiqua" w:cs="Calibri"/>
                <w:color w:val="FF0000"/>
                <w:sz w:val="22"/>
                <w:szCs w:val="22"/>
                <w:highlight w:val="yellow"/>
                <w:lang w:val="en-US" w:bidi="hi-IN"/>
              </w:rPr>
            </w:pPr>
          </w:p>
        </w:tc>
      </w:tr>
      <w:tr w:rsidR="00E93569" w:rsidRPr="00FD7318" w:rsidTr="00AE3F91">
        <w:trPr>
          <w:trHeight w:val="3520"/>
        </w:trPr>
        <w:tc>
          <w:tcPr>
            <w:tcW w:w="741" w:type="dxa"/>
          </w:tcPr>
          <w:p w:rsidR="00E93569" w:rsidRPr="00E93569" w:rsidRDefault="00E93569" w:rsidP="00E93569">
            <w:pPr>
              <w:pStyle w:val="ListParagraph"/>
              <w:numPr>
                <w:ilvl w:val="0"/>
                <w:numId w:val="44"/>
              </w:numPr>
              <w:jc w:val="center"/>
              <w:rPr>
                <w:rFonts w:ascii="Book Antiqua" w:hAnsi="Book Antiqua" w:cstheme="minorHAnsi"/>
              </w:rPr>
            </w:pPr>
          </w:p>
        </w:tc>
        <w:tc>
          <w:tcPr>
            <w:tcW w:w="1527" w:type="dxa"/>
          </w:tcPr>
          <w:p w:rsidR="00E93569" w:rsidRPr="00E93569" w:rsidRDefault="00E93569" w:rsidP="00E93569">
            <w:pPr>
              <w:jc w:val="center"/>
              <w:rPr>
                <w:rFonts w:ascii="Book Antiqua" w:hAnsi="Book Antiqua"/>
                <w:sz w:val="22"/>
                <w:szCs w:val="22"/>
              </w:rPr>
            </w:pPr>
            <w:r w:rsidRPr="00E93569">
              <w:rPr>
                <w:rFonts w:ascii="Book Antiqua" w:hAnsi="Book Antiqua"/>
                <w:sz w:val="22"/>
                <w:szCs w:val="22"/>
              </w:rPr>
              <w:t>Tender Layout</w:t>
            </w:r>
          </w:p>
        </w:tc>
        <w:tc>
          <w:tcPr>
            <w:tcW w:w="4860" w:type="dxa"/>
          </w:tcPr>
          <w:p w:rsidR="00E93569" w:rsidRPr="00E93569" w:rsidRDefault="00E93569" w:rsidP="00E93569">
            <w:pPr>
              <w:textAlignment w:val="top"/>
              <w:rPr>
                <w:rFonts w:ascii="Book Antiqua" w:eastAsia="SimSun" w:hAnsi="Book Antiqua"/>
                <w:color w:val="000000"/>
                <w:sz w:val="22"/>
                <w:szCs w:val="22"/>
                <w:lang w:val="en-US" w:eastAsia="zh-CN"/>
              </w:rPr>
            </w:pPr>
            <w:r w:rsidRPr="00E93569">
              <w:rPr>
                <w:rFonts w:ascii="Book Antiqua" w:eastAsia="SimSun" w:hAnsi="Book Antiqua"/>
                <w:color w:val="000000"/>
                <w:sz w:val="22"/>
                <w:szCs w:val="22"/>
                <w:lang w:val="en-US" w:eastAsia="zh-CN"/>
              </w:rPr>
              <w:t>One Nos. 220KV Future transformer bay</w:t>
            </w:r>
          </w:p>
        </w:tc>
        <w:tc>
          <w:tcPr>
            <w:tcW w:w="4899" w:type="dxa"/>
          </w:tcPr>
          <w:p w:rsidR="00E93569" w:rsidRPr="00E93569" w:rsidRDefault="00E93569" w:rsidP="00E93569">
            <w:pPr>
              <w:jc w:val="both"/>
              <w:textAlignment w:val="top"/>
              <w:rPr>
                <w:rFonts w:ascii="Book Antiqua" w:eastAsia="SimSun" w:hAnsi="Book Antiqua"/>
                <w:color w:val="000000"/>
                <w:sz w:val="22"/>
                <w:szCs w:val="22"/>
                <w:lang w:val="en-US" w:eastAsia="zh-CN"/>
              </w:rPr>
            </w:pPr>
            <w:r w:rsidRPr="00E93569">
              <w:rPr>
                <w:rFonts w:ascii="Book Antiqua" w:eastAsia="SimSun" w:hAnsi="Book Antiqua"/>
                <w:color w:val="000000"/>
                <w:sz w:val="22"/>
                <w:szCs w:val="22"/>
                <w:lang w:val="en-US" w:eastAsia="zh-CN"/>
              </w:rPr>
              <w:t xml:space="preserve">As per tender layout, </w:t>
            </w:r>
            <w:proofErr w:type="gramStart"/>
            <w:r w:rsidRPr="00E93569">
              <w:rPr>
                <w:rFonts w:ascii="Book Antiqua" w:eastAsia="SimSun" w:hAnsi="Book Antiqua"/>
                <w:color w:val="000000"/>
                <w:sz w:val="22"/>
                <w:szCs w:val="22"/>
                <w:lang w:val="en-US" w:eastAsia="zh-CN"/>
              </w:rPr>
              <w:t>We</w:t>
            </w:r>
            <w:proofErr w:type="gramEnd"/>
            <w:r w:rsidRPr="00E93569">
              <w:rPr>
                <w:rFonts w:ascii="Book Antiqua" w:eastAsia="SimSun" w:hAnsi="Book Antiqua"/>
                <w:color w:val="000000"/>
                <w:sz w:val="22"/>
                <w:szCs w:val="22"/>
                <w:lang w:val="en-US" w:eastAsia="zh-CN"/>
              </w:rPr>
              <w:t xml:space="preserve"> understand that the bidder has to freeze the Size of 220KV GIS PEB building considering only space provisions for One Nos. 220KV Future transformer bays (Supply of GIS module for the same is not under our scope) along with space required for maintenance bay. Pls confirm our understanding. </w:t>
            </w:r>
          </w:p>
        </w:tc>
        <w:tc>
          <w:tcPr>
            <w:tcW w:w="3167" w:type="dxa"/>
          </w:tcPr>
          <w:p w:rsidR="00E93569" w:rsidRDefault="00E93569" w:rsidP="00E93569">
            <w:pPr>
              <w:jc w:val="both"/>
              <w:rPr>
                <w:rFonts w:ascii="Book Antiqua" w:eastAsia="Times New Roman" w:hAnsi="Book Antiqua" w:cs="Calibri"/>
                <w:sz w:val="22"/>
                <w:szCs w:val="22"/>
                <w:lang w:val="en-US" w:bidi="hi-IN"/>
              </w:rPr>
            </w:pPr>
            <w:r w:rsidRPr="00E93569">
              <w:rPr>
                <w:rFonts w:ascii="Book Antiqua" w:eastAsia="Times New Roman" w:hAnsi="Book Antiqua" w:cs="Calibri"/>
                <w:sz w:val="22"/>
                <w:szCs w:val="22"/>
                <w:lang w:val="en-US" w:bidi="hi-IN"/>
              </w:rPr>
              <w:t xml:space="preserve">The size of 220kV GIS PEB building has to freeze considering all 220kV bays in present scope as per Clause 2.A. of TS, Section: Project along with space required for maintenance bay. </w:t>
            </w:r>
          </w:p>
          <w:p w:rsidR="00AE3F91" w:rsidRPr="00E93569" w:rsidRDefault="00AE3F91" w:rsidP="00E93569">
            <w:pPr>
              <w:jc w:val="both"/>
              <w:rPr>
                <w:rFonts w:ascii="Book Antiqua" w:eastAsia="Times New Roman" w:hAnsi="Book Antiqua" w:cs="Calibri"/>
                <w:sz w:val="22"/>
                <w:szCs w:val="22"/>
                <w:lang w:val="en-US" w:bidi="hi-IN"/>
              </w:rPr>
            </w:pPr>
          </w:p>
          <w:p w:rsidR="00E93569" w:rsidRPr="00E93569" w:rsidRDefault="00E93569" w:rsidP="00E93569">
            <w:pPr>
              <w:jc w:val="both"/>
              <w:rPr>
                <w:rFonts w:ascii="Book Antiqua" w:eastAsia="Times New Roman" w:hAnsi="Book Antiqua" w:cs="Calibri"/>
                <w:sz w:val="22"/>
                <w:szCs w:val="22"/>
                <w:lang w:val="en-US" w:bidi="hi-IN"/>
              </w:rPr>
            </w:pPr>
            <w:r w:rsidRPr="00E93569">
              <w:rPr>
                <w:rFonts w:ascii="Book Antiqua" w:eastAsia="Times New Roman" w:hAnsi="Book Antiqua" w:cs="Calibri"/>
                <w:sz w:val="22"/>
                <w:szCs w:val="22"/>
                <w:lang w:val="en-US" w:bidi="hi-IN"/>
              </w:rPr>
              <w:t xml:space="preserve">Space provision for future 220kV GIS Transformer Bay module in the present scope GIS building is not envisaged. </w:t>
            </w:r>
          </w:p>
          <w:p w:rsidR="00E93569" w:rsidRDefault="00E93569" w:rsidP="00E93569">
            <w:pPr>
              <w:jc w:val="both"/>
              <w:rPr>
                <w:rFonts w:ascii="Book Antiqua" w:eastAsia="Times New Roman" w:hAnsi="Book Antiqua" w:cs="Calibri"/>
                <w:sz w:val="22"/>
                <w:szCs w:val="22"/>
                <w:lang w:val="en-US" w:bidi="hi-IN"/>
              </w:rPr>
            </w:pPr>
            <w:r w:rsidRPr="00E93569">
              <w:rPr>
                <w:rFonts w:ascii="Book Antiqua" w:eastAsia="Times New Roman" w:hAnsi="Book Antiqua" w:cs="Calibri"/>
                <w:sz w:val="22"/>
                <w:szCs w:val="22"/>
                <w:lang w:val="en-US" w:bidi="hi-IN"/>
              </w:rPr>
              <w:t>Bidder shall quote accordingly.</w:t>
            </w:r>
          </w:p>
          <w:p w:rsidR="00AE3F91" w:rsidRPr="00E93569" w:rsidRDefault="00AE3F91" w:rsidP="00E93569">
            <w:pPr>
              <w:jc w:val="both"/>
              <w:rPr>
                <w:rFonts w:ascii="Book Antiqua" w:eastAsia="Times New Roman" w:hAnsi="Book Antiqua" w:cs="Calibri"/>
                <w:sz w:val="22"/>
                <w:szCs w:val="22"/>
                <w:lang w:val="en-US" w:bidi="hi-IN"/>
              </w:rPr>
            </w:pPr>
          </w:p>
        </w:tc>
      </w:tr>
      <w:tr w:rsidR="00E93569" w:rsidRPr="00FD7318" w:rsidTr="00AE3F91">
        <w:trPr>
          <w:trHeight w:val="586"/>
        </w:trPr>
        <w:tc>
          <w:tcPr>
            <w:tcW w:w="741" w:type="dxa"/>
          </w:tcPr>
          <w:p w:rsidR="00E93569" w:rsidRPr="00E93569" w:rsidRDefault="00E93569" w:rsidP="00E93569">
            <w:pPr>
              <w:pStyle w:val="ListParagraph"/>
              <w:numPr>
                <w:ilvl w:val="0"/>
                <w:numId w:val="44"/>
              </w:numPr>
              <w:jc w:val="center"/>
              <w:rPr>
                <w:rFonts w:ascii="Book Antiqua" w:hAnsi="Book Antiqua" w:cstheme="minorHAnsi"/>
              </w:rPr>
            </w:pPr>
          </w:p>
        </w:tc>
        <w:tc>
          <w:tcPr>
            <w:tcW w:w="1527" w:type="dxa"/>
          </w:tcPr>
          <w:p w:rsidR="00E93569" w:rsidRPr="00E93569" w:rsidRDefault="00E93569" w:rsidP="00E93569">
            <w:pPr>
              <w:jc w:val="center"/>
              <w:rPr>
                <w:rFonts w:ascii="Book Antiqua" w:hAnsi="Book Antiqua"/>
                <w:sz w:val="22"/>
                <w:szCs w:val="22"/>
              </w:rPr>
            </w:pPr>
            <w:r w:rsidRPr="00E93569">
              <w:rPr>
                <w:rFonts w:ascii="Book Antiqua" w:hAnsi="Book Antiqua"/>
                <w:sz w:val="22"/>
                <w:szCs w:val="22"/>
              </w:rPr>
              <w:t>Tender Layout</w:t>
            </w:r>
          </w:p>
        </w:tc>
        <w:tc>
          <w:tcPr>
            <w:tcW w:w="4860" w:type="dxa"/>
          </w:tcPr>
          <w:p w:rsidR="00E93569" w:rsidRPr="00E93569" w:rsidRDefault="00E93569" w:rsidP="00E93569">
            <w:pPr>
              <w:textAlignment w:val="top"/>
              <w:rPr>
                <w:rFonts w:ascii="Book Antiqua" w:eastAsia="SimSun" w:hAnsi="Book Antiqua"/>
                <w:color w:val="000000"/>
                <w:sz w:val="22"/>
                <w:szCs w:val="22"/>
                <w:lang w:val="en-US" w:eastAsia="zh-CN"/>
              </w:rPr>
            </w:pPr>
            <w:r w:rsidRPr="00E93569">
              <w:rPr>
                <w:rFonts w:ascii="Book Antiqua" w:eastAsia="SimSun" w:hAnsi="Book Antiqua"/>
                <w:color w:val="000000"/>
                <w:sz w:val="22"/>
                <w:szCs w:val="22"/>
                <w:lang w:val="en-US" w:eastAsia="zh-CN"/>
              </w:rPr>
              <w:t>Future Interface module</w:t>
            </w:r>
          </w:p>
        </w:tc>
        <w:tc>
          <w:tcPr>
            <w:tcW w:w="4899" w:type="dxa"/>
          </w:tcPr>
          <w:p w:rsidR="00E93569" w:rsidRPr="00E93569" w:rsidRDefault="00E93569" w:rsidP="00E93569">
            <w:pPr>
              <w:jc w:val="both"/>
              <w:textAlignment w:val="top"/>
              <w:rPr>
                <w:rFonts w:ascii="Book Antiqua" w:eastAsia="SimSun" w:hAnsi="Book Antiqua"/>
                <w:color w:val="000000"/>
                <w:sz w:val="22"/>
                <w:szCs w:val="22"/>
                <w:lang w:val="en-US" w:eastAsia="zh-CN"/>
              </w:rPr>
            </w:pPr>
            <w:r w:rsidRPr="00E93569">
              <w:rPr>
                <w:rFonts w:ascii="Book Antiqua" w:eastAsia="SimSun" w:hAnsi="Book Antiqua"/>
                <w:color w:val="000000"/>
                <w:sz w:val="22"/>
                <w:szCs w:val="22"/>
                <w:lang w:val="en-US" w:eastAsia="zh-CN"/>
              </w:rPr>
              <w:t xml:space="preserve">As per the tender layout, we understand that at only one end, Future interface module is required for extension of future bays. Pls confirm our understanding. </w:t>
            </w:r>
          </w:p>
        </w:tc>
        <w:tc>
          <w:tcPr>
            <w:tcW w:w="3167" w:type="dxa"/>
          </w:tcPr>
          <w:p w:rsidR="00E93569" w:rsidRDefault="00E93569" w:rsidP="00E93569">
            <w:pPr>
              <w:jc w:val="both"/>
              <w:rPr>
                <w:rFonts w:ascii="Book Antiqua" w:eastAsia="Times New Roman" w:hAnsi="Book Antiqua" w:cs="Calibri"/>
                <w:sz w:val="22"/>
                <w:szCs w:val="22"/>
                <w:lang w:val="en-US" w:bidi="hi-IN"/>
              </w:rPr>
            </w:pPr>
            <w:r w:rsidRPr="00E93569">
              <w:rPr>
                <w:rFonts w:ascii="Book Antiqua" w:eastAsia="Times New Roman" w:hAnsi="Book Antiqua" w:cs="Calibri"/>
                <w:sz w:val="22"/>
                <w:szCs w:val="22"/>
                <w:lang w:val="en-US" w:bidi="hi-IN"/>
              </w:rPr>
              <w:t xml:space="preserve">Please refer to Clause II. </w:t>
            </w:r>
            <w:proofErr w:type="spellStart"/>
            <w:r w:rsidRPr="00E93569">
              <w:rPr>
                <w:rFonts w:ascii="Book Antiqua" w:eastAsia="Times New Roman" w:hAnsi="Book Antiqua" w:cs="Calibri"/>
                <w:sz w:val="22"/>
                <w:szCs w:val="22"/>
                <w:lang w:val="en-US" w:bidi="hi-IN"/>
              </w:rPr>
              <w:t>i</w:t>
            </w:r>
            <w:proofErr w:type="spellEnd"/>
            <w:r w:rsidRPr="00E93569">
              <w:rPr>
                <w:rFonts w:ascii="Book Antiqua" w:eastAsia="Times New Roman" w:hAnsi="Book Antiqua" w:cs="Calibri"/>
                <w:sz w:val="22"/>
                <w:szCs w:val="22"/>
                <w:lang w:val="en-US" w:bidi="hi-IN"/>
              </w:rPr>
              <w:t xml:space="preserve">) v. of Annexure-VIII to TS, Section: Project. Interface module (with isolating test link) for future extension is </w:t>
            </w:r>
            <w:r w:rsidRPr="00E93569">
              <w:rPr>
                <w:rFonts w:ascii="Book Antiqua" w:eastAsia="Times New Roman" w:hAnsi="Book Antiqua" w:cs="Calibri"/>
                <w:sz w:val="22"/>
                <w:szCs w:val="22"/>
                <w:lang w:val="en-US" w:bidi="hi-IN"/>
              </w:rPr>
              <w:lastRenderedPageBreak/>
              <w:t>required on both ends of Bus bar.</w:t>
            </w:r>
          </w:p>
          <w:p w:rsidR="00AE3F91" w:rsidRPr="00E93569" w:rsidRDefault="00E93569" w:rsidP="00AE3F91">
            <w:pPr>
              <w:jc w:val="both"/>
              <w:rPr>
                <w:rFonts w:ascii="Book Antiqua" w:eastAsia="Times New Roman" w:hAnsi="Book Antiqua" w:cs="Calibri"/>
                <w:sz w:val="22"/>
                <w:szCs w:val="22"/>
                <w:lang w:val="en-US" w:bidi="hi-IN"/>
              </w:rPr>
            </w:pPr>
            <w:r w:rsidRPr="00E93569">
              <w:rPr>
                <w:rFonts w:ascii="Book Antiqua" w:eastAsia="Times New Roman" w:hAnsi="Book Antiqua" w:cs="Calibri"/>
                <w:sz w:val="22"/>
                <w:szCs w:val="22"/>
                <w:lang w:val="en-US" w:bidi="hi-IN"/>
              </w:rPr>
              <w:t xml:space="preserve">Bidder shall quote </w:t>
            </w:r>
            <w:r w:rsidR="00AE3F91">
              <w:rPr>
                <w:rFonts w:ascii="Book Antiqua" w:eastAsia="Times New Roman" w:hAnsi="Book Antiqua" w:cs="Calibri"/>
                <w:sz w:val="22"/>
                <w:szCs w:val="22"/>
                <w:lang w:val="en-US" w:bidi="hi-IN"/>
              </w:rPr>
              <w:t>a</w:t>
            </w:r>
            <w:r w:rsidRPr="00E93569">
              <w:rPr>
                <w:rFonts w:ascii="Book Antiqua" w:eastAsia="Times New Roman" w:hAnsi="Book Antiqua" w:cs="Calibri"/>
                <w:sz w:val="22"/>
                <w:szCs w:val="22"/>
                <w:lang w:val="en-US" w:bidi="hi-IN"/>
              </w:rPr>
              <w:t>ccordingly.</w:t>
            </w:r>
          </w:p>
        </w:tc>
      </w:tr>
      <w:tr w:rsidR="00E93569" w:rsidRPr="00FD7318" w:rsidTr="00AE3F91">
        <w:trPr>
          <w:trHeight w:val="4693"/>
        </w:trPr>
        <w:tc>
          <w:tcPr>
            <w:tcW w:w="741" w:type="dxa"/>
          </w:tcPr>
          <w:p w:rsidR="00E93569" w:rsidRPr="00E93569" w:rsidRDefault="00E93569" w:rsidP="00E93569">
            <w:pPr>
              <w:pStyle w:val="ListParagraph"/>
              <w:numPr>
                <w:ilvl w:val="0"/>
                <w:numId w:val="44"/>
              </w:numPr>
              <w:jc w:val="center"/>
              <w:rPr>
                <w:rFonts w:ascii="Book Antiqua" w:hAnsi="Book Antiqua" w:cstheme="minorHAnsi"/>
              </w:rPr>
            </w:pPr>
          </w:p>
        </w:tc>
        <w:tc>
          <w:tcPr>
            <w:tcW w:w="1527" w:type="dxa"/>
          </w:tcPr>
          <w:p w:rsidR="00E93569" w:rsidRPr="00E93569" w:rsidRDefault="00E93569" w:rsidP="00E93569">
            <w:pPr>
              <w:jc w:val="center"/>
              <w:rPr>
                <w:rFonts w:ascii="Book Antiqua" w:hAnsi="Book Antiqua"/>
                <w:sz w:val="22"/>
                <w:szCs w:val="22"/>
              </w:rPr>
            </w:pPr>
            <w:r w:rsidRPr="00E93569">
              <w:rPr>
                <w:rFonts w:ascii="Book Antiqua" w:hAnsi="Book Antiqua"/>
                <w:sz w:val="22"/>
                <w:szCs w:val="22"/>
              </w:rPr>
              <w:t>Tender Layout</w:t>
            </w:r>
          </w:p>
        </w:tc>
        <w:tc>
          <w:tcPr>
            <w:tcW w:w="4860" w:type="dxa"/>
          </w:tcPr>
          <w:p w:rsidR="00E93569" w:rsidRPr="00E93569" w:rsidRDefault="00E93569" w:rsidP="00E93569">
            <w:pPr>
              <w:jc w:val="both"/>
              <w:textAlignment w:val="top"/>
              <w:rPr>
                <w:rFonts w:ascii="Book Antiqua" w:eastAsia="SimSun" w:hAnsi="Book Antiqua"/>
                <w:color w:val="000000"/>
                <w:sz w:val="22"/>
                <w:szCs w:val="22"/>
                <w:lang w:val="en-US" w:eastAsia="zh-CN"/>
              </w:rPr>
            </w:pPr>
            <w:r w:rsidRPr="00E93569">
              <w:rPr>
                <w:rFonts w:ascii="Book Antiqua" w:eastAsia="SimSun" w:hAnsi="Book Antiqua"/>
                <w:color w:val="000000"/>
                <w:sz w:val="22"/>
                <w:szCs w:val="22"/>
                <w:lang w:val="en-US" w:eastAsia="zh-CN"/>
              </w:rPr>
              <w:t>Connection Philosophy between 220KV Line overhead conductor to 220KV GIS building</w:t>
            </w:r>
          </w:p>
        </w:tc>
        <w:tc>
          <w:tcPr>
            <w:tcW w:w="4899" w:type="dxa"/>
          </w:tcPr>
          <w:p w:rsidR="00E93569" w:rsidRPr="00E93569" w:rsidRDefault="00E93569" w:rsidP="00E93569">
            <w:pPr>
              <w:jc w:val="both"/>
              <w:textAlignment w:val="top"/>
              <w:rPr>
                <w:rFonts w:ascii="Book Antiqua" w:eastAsia="SimSun" w:hAnsi="Book Antiqua"/>
                <w:color w:val="000000"/>
                <w:sz w:val="22"/>
                <w:szCs w:val="22"/>
                <w:lang w:val="en-US" w:eastAsia="zh-CN"/>
              </w:rPr>
            </w:pPr>
            <w:r w:rsidRPr="00E93569">
              <w:rPr>
                <w:rFonts w:ascii="Book Antiqua" w:eastAsia="SimSun" w:hAnsi="Book Antiqua"/>
                <w:color w:val="000000"/>
                <w:sz w:val="22"/>
                <w:szCs w:val="22"/>
                <w:lang w:val="en-US" w:eastAsia="zh-CN"/>
              </w:rPr>
              <w:t>As per the tender layout, we understand that the 220KV line bays overhead conductor terminates to 220KV GIS building through Horizontal SF6/AIR bushing but the quantity of horizontal SF6/AIR bushing is not mentioned in bid price schedu</w:t>
            </w:r>
            <w:bookmarkStart w:id="0" w:name="_GoBack"/>
            <w:bookmarkEnd w:id="0"/>
            <w:r w:rsidRPr="00E93569">
              <w:rPr>
                <w:rFonts w:ascii="Book Antiqua" w:eastAsia="SimSun" w:hAnsi="Book Antiqua"/>
                <w:color w:val="000000"/>
                <w:sz w:val="22"/>
                <w:szCs w:val="22"/>
                <w:lang w:val="en-US" w:eastAsia="zh-CN"/>
              </w:rPr>
              <w:t xml:space="preserve">le. Pls clarify. </w:t>
            </w:r>
          </w:p>
        </w:tc>
        <w:tc>
          <w:tcPr>
            <w:tcW w:w="3167" w:type="dxa"/>
          </w:tcPr>
          <w:p w:rsidR="00E93569" w:rsidRPr="00E93569" w:rsidRDefault="00E93569" w:rsidP="00E93569">
            <w:pPr>
              <w:jc w:val="both"/>
              <w:rPr>
                <w:rFonts w:ascii="Book Antiqua" w:eastAsia="Times New Roman" w:hAnsi="Book Antiqua" w:cs="Calibri"/>
                <w:sz w:val="22"/>
                <w:szCs w:val="22"/>
                <w:lang w:val="en-US" w:bidi="hi-IN"/>
              </w:rPr>
            </w:pPr>
            <w:r w:rsidRPr="00E93569">
              <w:rPr>
                <w:rFonts w:ascii="Book Antiqua" w:eastAsia="Times New Roman" w:hAnsi="Book Antiqua" w:cs="Calibri"/>
                <w:sz w:val="22"/>
                <w:szCs w:val="22"/>
                <w:lang w:val="en-US" w:bidi="hi-IN"/>
              </w:rPr>
              <w:t>Please refer Clause II. ii) vii of Annexure-VIII to TS, Section: Project, wherein the SF6 to Air Bushings (Wall Bushings) are already included/covered in the detailed description of 245kV GIS line bay module and similarly included/covered in 245kV GIS ICT bay module description for ICT bay termination.</w:t>
            </w:r>
          </w:p>
          <w:p w:rsidR="00E93569" w:rsidRPr="00E93569" w:rsidRDefault="00E93569" w:rsidP="00E93569">
            <w:pPr>
              <w:jc w:val="both"/>
              <w:rPr>
                <w:rFonts w:ascii="Book Antiqua" w:eastAsia="Times New Roman" w:hAnsi="Book Antiqua" w:cs="Calibri"/>
                <w:sz w:val="22"/>
                <w:szCs w:val="22"/>
                <w:lang w:val="en-US" w:bidi="hi-IN"/>
              </w:rPr>
            </w:pPr>
            <w:r w:rsidRPr="00E93569">
              <w:rPr>
                <w:rFonts w:ascii="Book Antiqua" w:eastAsia="Times New Roman" w:hAnsi="Book Antiqua" w:cs="Calibri"/>
                <w:sz w:val="22"/>
                <w:szCs w:val="22"/>
                <w:lang w:val="en-US" w:bidi="hi-IN"/>
              </w:rPr>
              <w:t>Accordingly, no separate item envisaged for SF6 to Air Bushings (Wall Bushings) in BPS. Bidder shall quote accordingly.</w:t>
            </w:r>
          </w:p>
        </w:tc>
      </w:tr>
      <w:tr w:rsidR="00E93569" w:rsidRPr="00FD7318" w:rsidTr="00AE3F91">
        <w:trPr>
          <w:trHeight w:val="1654"/>
        </w:trPr>
        <w:tc>
          <w:tcPr>
            <w:tcW w:w="741" w:type="dxa"/>
          </w:tcPr>
          <w:p w:rsidR="00E93569" w:rsidRPr="00E93569" w:rsidRDefault="00E93569" w:rsidP="00E93569">
            <w:pPr>
              <w:pStyle w:val="ListParagraph"/>
              <w:numPr>
                <w:ilvl w:val="0"/>
                <w:numId w:val="44"/>
              </w:numPr>
              <w:jc w:val="center"/>
              <w:rPr>
                <w:rFonts w:ascii="Book Antiqua" w:hAnsi="Book Antiqua" w:cstheme="minorHAnsi"/>
              </w:rPr>
            </w:pPr>
          </w:p>
        </w:tc>
        <w:tc>
          <w:tcPr>
            <w:tcW w:w="1527" w:type="dxa"/>
          </w:tcPr>
          <w:p w:rsidR="00E93569" w:rsidRPr="00E93569" w:rsidRDefault="00E93569" w:rsidP="00E93569">
            <w:pPr>
              <w:jc w:val="center"/>
              <w:rPr>
                <w:rFonts w:ascii="Book Antiqua" w:hAnsi="Book Antiqua"/>
                <w:sz w:val="22"/>
                <w:szCs w:val="22"/>
              </w:rPr>
            </w:pPr>
            <w:r w:rsidRPr="00E93569">
              <w:rPr>
                <w:rFonts w:ascii="Book Antiqua" w:hAnsi="Book Antiqua"/>
                <w:sz w:val="22"/>
                <w:szCs w:val="22"/>
              </w:rPr>
              <w:t>Bid price schedule / SS98-220/33KV NILGRAR GIS SS / Sr No.- 19 &amp; 20</w:t>
            </w:r>
          </w:p>
        </w:tc>
        <w:tc>
          <w:tcPr>
            <w:tcW w:w="4860" w:type="dxa"/>
          </w:tcPr>
          <w:p w:rsidR="00E93569" w:rsidRPr="00E93569" w:rsidRDefault="00E93569" w:rsidP="00E93569">
            <w:pPr>
              <w:textAlignment w:val="top"/>
              <w:rPr>
                <w:rFonts w:ascii="Book Antiqua" w:eastAsia="SimSun" w:hAnsi="Book Antiqua"/>
                <w:color w:val="000000"/>
                <w:sz w:val="22"/>
                <w:szCs w:val="22"/>
                <w:lang w:val="en-US" w:eastAsia="zh-CN"/>
              </w:rPr>
            </w:pPr>
            <w:r w:rsidRPr="00E93569">
              <w:rPr>
                <w:rFonts w:ascii="Book Antiqua" w:eastAsia="SimSun" w:hAnsi="Book Antiqua"/>
                <w:color w:val="000000"/>
                <w:sz w:val="22"/>
                <w:szCs w:val="22"/>
                <w:lang w:val="en-US" w:eastAsia="zh-CN"/>
              </w:rPr>
              <w:t>"</w:t>
            </w:r>
            <w:proofErr w:type="spellStart"/>
            <w:r w:rsidRPr="00E93569">
              <w:rPr>
                <w:rFonts w:ascii="Book Antiqua" w:eastAsia="SimSun" w:hAnsi="Book Antiqua"/>
                <w:color w:val="000000"/>
                <w:sz w:val="22"/>
                <w:szCs w:val="22"/>
                <w:lang w:val="en-US" w:eastAsia="zh-CN"/>
              </w:rPr>
              <w:t>Sr.No</w:t>
            </w:r>
            <w:proofErr w:type="spellEnd"/>
            <w:r w:rsidRPr="00E93569">
              <w:rPr>
                <w:rFonts w:ascii="Book Antiqua" w:eastAsia="SimSun" w:hAnsi="Book Antiqua"/>
                <w:color w:val="000000"/>
                <w:sz w:val="22"/>
                <w:szCs w:val="22"/>
                <w:lang w:val="en-US" w:eastAsia="zh-CN"/>
              </w:rPr>
              <w:t>. -19 - 33KV, 1CX630 SQ.MM XLPE AL. ARMOURED CABLE</w:t>
            </w:r>
          </w:p>
          <w:p w:rsidR="00E93569" w:rsidRPr="00E93569" w:rsidRDefault="00E93569" w:rsidP="00E93569">
            <w:pPr>
              <w:jc w:val="both"/>
              <w:textAlignment w:val="top"/>
              <w:rPr>
                <w:rFonts w:ascii="Book Antiqua" w:eastAsia="SimSun" w:hAnsi="Book Antiqua"/>
                <w:color w:val="000000"/>
                <w:sz w:val="22"/>
                <w:szCs w:val="22"/>
                <w:lang w:val="en-US" w:eastAsia="zh-CN"/>
              </w:rPr>
            </w:pPr>
            <w:proofErr w:type="spellStart"/>
            <w:r w:rsidRPr="00E93569">
              <w:rPr>
                <w:rFonts w:ascii="Book Antiqua" w:eastAsia="SimSun" w:hAnsi="Book Antiqua"/>
                <w:color w:val="000000"/>
                <w:sz w:val="22"/>
                <w:szCs w:val="22"/>
                <w:lang w:val="en-US" w:eastAsia="zh-CN"/>
              </w:rPr>
              <w:t>Sr.No</w:t>
            </w:r>
            <w:proofErr w:type="spellEnd"/>
            <w:r w:rsidRPr="00E93569">
              <w:rPr>
                <w:rFonts w:ascii="Book Antiqua" w:eastAsia="SimSun" w:hAnsi="Book Antiqua"/>
                <w:color w:val="000000"/>
                <w:sz w:val="22"/>
                <w:szCs w:val="22"/>
                <w:lang w:val="en-US" w:eastAsia="zh-CN"/>
              </w:rPr>
              <w:t>. - 20 - 33KV ,3CX95 SQ.MM XLPE AL. ARMOURED CABLE "</w:t>
            </w:r>
          </w:p>
        </w:tc>
        <w:tc>
          <w:tcPr>
            <w:tcW w:w="4899" w:type="dxa"/>
          </w:tcPr>
          <w:p w:rsidR="00E93569" w:rsidRPr="00E93569" w:rsidRDefault="00E93569" w:rsidP="00E93569">
            <w:pPr>
              <w:jc w:val="both"/>
              <w:textAlignment w:val="top"/>
              <w:rPr>
                <w:rFonts w:ascii="Book Antiqua" w:eastAsia="SimSun" w:hAnsi="Book Antiqua"/>
                <w:color w:val="000000"/>
                <w:sz w:val="22"/>
                <w:szCs w:val="22"/>
                <w:lang w:val="en-US" w:eastAsia="zh-CN"/>
              </w:rPr>
            </w:pPr>
            <w:r w:rsidRPr="00E93569">
              <w:rPr>
                <w:rFonts w:ascii="Book Antiqua" w:eastAsia="SimSun" w:hAnsi="Book Antiqua"/>
                <w:color w:val="000000"/>
                <w:sz w:val="22"/>
                <w:szCs w:val="22"/>
                <w:lang w:val="en-US" w:eastAsia="zh-CN"/>
              </w:rPr>
              <w:t xml:space="preserve">As per the bid price schedule we understand that the 33KV HT cable size shall be as per the bid price schedule. 33KV HT cable sizing is not under bidder scope of work. Pls confirm our understanding. </w:t>
            </w:r>
          </w:p>
        </w:tc>
        <w:tc>
          <w:tcPr>
            <w:tcW w:w="3167" w:type="dxa"/>
          </w:tcPr>
          <w:p w:rsidR="00E93569" w:rsidRPr="00E93569" w:rsidRDefault="00E93569" w:rsidP="00E93569">
            <w:pPr>
              <w:rPr>
                <w:rFonts w:ascii="Book Antiqua" w:eastAsia="Times New Roman" w:hAnsi="Book Antiqua" w:cs="Calibri"/>
                <w:sz w:val="22"/>
                <w:szCs w:val="22"/>
                <w:lang w:val="en-US" w:bidi="hi-IN"/>
              </w:rPr>
            </w:pPr>
            <w:r w:rsidRPr="00E93569">
              <w:rPr>
                <w:rFonts w:ascii="Book Antiqua" w:eastAsia="Times New Roman" w:hAnsi="Book Antiqua" w:cs="Calibri"/>
                <w:sz w:val="22"/>
                <w:szCs w:val="22"/>
                <w:lang w:val="en-US" w:bidi="hi-IN"/>
              </w:rPr>
              <w:t>Confirmed.</w:t>
            </w:r>
          </w:p>
        </w:tc>
      </w:tr>
    </w:tbl>
    <w:p w:rsidR="00B87890" w:rsidRPr="00964494" w:rsidRDefault="00B87890" w:rsidP="00BC3B05">
      <w:pPr>
        <w:tabs>
          <w:tab w:val="left" w:pos="7770"/>
        </w:tabs>
        <w:rPr>
          <w:rFonts w:ascii="Palatino Linotype" w:hAnsi="Palatino Linotype" w:cstheme="minorHAnsi"/>
          <w:lang w:val="en-IN"/>
        </w:rPr>
      </w:pPr>
    </w:p>
    <w:sectPr w:rsidR="00B87890" w:rsidRPr="00964494" w:rsidSect="00A03489">
      <w:headerReference w:type="default" r:id="rId8"/>
      <w:footerReference w:type="default" r:id="rId9"/>
      <w:pgSz w:w="16838" w:h="11906" w:orient="landscape" w:code="9"/>
      <w:pgMar w:top="1551" w:right="1418" w:bottom="1170" w:left="1418" w:header="54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0929" w:rsidRDefault="00660929">
      <w:r>
        <w:separator/>
      </w:r>
    </w:p>
  </w:endnote>
  <w:endnote w:type="continuationSeparator" w:id="0">
    <w:p w:rsidR="00660929" w:rsidRDefault="00660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4D"/>
    <w:family w:val="swiss"/>
    <w:notTrueType/>
    <w:pitch w:val="variable"/>
    <w:sig w:usb0="00000003" w:usb1="00000000" w:usb2="00000000" w:usb3="00000000" w:csb0="00000001" w:csb1="00000000"/>
  </w:font>
  <w:font w:name="Mangal">
    <w:altName w:val="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711" w:rsidRDefault="00420711">
    <w:pPr>
      <w:pStyle w:val="Footer"/>
      <w:jc w:val="right"/>
    </w:pPr>
    <w:r>
      <w:t xml:space="preserve">Page </w:t>
    </w:r>
    <w:sdt>
      <w:sdtPr>
        <w:id w:val="190464242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w:t>
        </w:r>
        <w:r>
          <w:rPr>
            <w:noProof/>
          </w:rPr>
          <w:fldChar w:fldCharType="end"/>
        </w:r>
        <w:r>
          <w:rPr>
            <w:noProof/>
          </w:rPr>
          <w:t xml:space="preserve"> of </w:t>
        </w:r>
        <w:r w:rsidR="00AE3F91">
          <w:rPr>
            <w:noProof/>
          </w:rPr>
          <w:t>4</w:t>
        </w:r>
      </w:sdtContent>
    </w:sdt>
  </w:p>
  <w:p w:rsidR="00420711" w:rsidRDefault="00420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0929" w:rsidRDefault="00660929">
      <w:r>
        <w:separator/>
      </w:r>
    </w:p>
  </w:footnote>
  <w:footnote w:type="continuationSeparator" w:id="0">
    <w:p w:rsidR="00660929" w:rsidRDefault="00660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56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60"/>
    </w:tblGrid>
    <w:tr w:rsidR="00420711" w:rsidRPr="00B160BC" w:rsidTr="00D327B7">
      <w:trPr>
        <w:trHeight w:val="604"/>
      </w:trPr>
      <w:tc>
        <w:tcPr>
          <w:tcW w:w="15660" w:type="dxa"/>
          <w:tcBorders>
            <w:bottom w:val="single" w:sz="4" w:space="0" w:color="auto"/>
          </w:tcBorders>
          <w:vAlign w:val="center"/>
        </w:tcPr>
        <w:p w:rsidR="001C1450" w:rsidRDefault="00420711" w:rsidP="00DC03DE">
          <w:pPr>
            <w:jc w:val="both"/>
            <w:rPr>
              <w:rFonts w:ascii="Book Antiqua" w:hAnsi="Book Antiqua"/>
              <w:b/>
              <w:sz w:val="22"/>
              <w:szCs w:val="22"/>
            </w:rPr>
          </w:pPr>
          <w:r w:rsidRPr="00DE4402">
            <w:rPr>
              <w:rFonts w:asciiTheme="minorHAnsi" w:hAnsiTheme="minorHAnsi" w:cstheme="minorHAnsi"/>
              <w:b/>
              <w:sz w:val="22"/>
              <w:szCs w:val="22"/>
              <w:lang w:val="en-GB"/>
            </w:rPr>
            <w:t>C</w:t>
          </w:r>
          <w:r>
            <w:rPr>
              <w:rFonts w:asciiTheme="minorHAnsi" w:hAnsiTheme="minorHAnsi" w:cstheme="minorHAnsi"/>
              <w:b/>
              <w:sz w:val="22"/>
              <w:szCs w:val="22"/>
              <w:lang w:val="en-GB"/>
            </w:rPr>
            <w:t>larification No-0</w:t>
          </w:r>
          <w:r w:rsidR="001C1450">
            <w:rPr>
              <w:rFonts w:asciiTheme="minorHAnsi" w:hAnsiTheme="minorHAnsi" w:cstheme="minorHAnsi"/>
              <w:b/>
              <w:sz w:val="22"/>
              <w:szCs w:val="22"/>
              <w:lang w:val="en-GB"/>
            </w:rPr>
            <w:t>1</w:t>
          </w:r>
          <w:r w:rsidRPr="00DE4402">
            <w:rPr>
              <w:rFonts w:asciiTheme="minorHAnsi" w:hAnsiTheme="minorHAnsi" w:cstheme="minorHAnsi"/>
              <w:b/>
              <w:sz w:val="22"/>
              <w:szCs w:val="22"/>
              <w:lang w:val="en-GB"/>
            </w:rPr>
            <w:t xml:space="preserve"> to Bidding Document</w:t>
          </w:r>
          <w:r>
            <w:rPr>
              <w:rFonts w:asciiTheme="minorHAnsi" w:hAnsiTheme="minorHAnsi" w:cstheme="minorHAnsi"/>
              <w:b/>
              <w:sz w:val="22"/>
              <w:szCs w:val="22"/>
              <w:lang w:val="en-GB"/>
            </w:rPr>
            <w:t xml:space="preserve"> for </w:t>
          </w:r>
          <w:r w:rsidR="001C1450" w:rsidRPr="001C1450">
            <w:rPr>
              <w:rFonts w:ascii="Book Antiqua" w:hAnsi="Book Antiqua" w:cs="Arial"/>
              <w:b/>
              <w:bCs/>
              <w:sz w:val="22"/>
              <w:szCs w:val="22"/>
              <w:lang w:val="en-IN"/>
            </w:rPr>
            <w:t>Substation Package SS98 for (</w:t>
          </w:r>
          <w:proofErr w:type="spellStart"/>
          <w:r w:rsidR="001C1450" w:rsidRPr="001C1450">
            <w:rPr>
              <w:rFonts w:ascii="Book Antiqua" w:hAnsi="Book Antiqua" w:cs="Arial"/>
              <w:b/>
              <w:bCs/>
              <w:sz w:val="22"/>
              <w:szCs w:val="22"/>
              <w:lang w:val="en-IN"/>
            </w:rPr>
            <w:t>i</w:t>
          </w:r>
          <w:proofErr w:type="spellEnd"/>
          <w:r w:rsidR="001C1450" w:rsidRPr="001C1450">
            <w:rPr>
              <w:rFonts w:ascii="Book Antiqua" w:hAnsi="Book Antiqua" w:cs="Arial"/>
              <w:b/>
              <w:bCs/>
              <w:sz w:val="22"/>
              <w:szCs w:val="22"/>
              <w:lang w:val="en-IN"/>
            </w:rPr>
            <w:t xml:space="preserve">) Construction of New 220/33 kV GIS (New) Substation at </w:t>
          </w:r>
          <w:proofErr w:type="spellStart"/>
          <w:r w:rsidR="001C1450" w:rsidRPr="001C1450">
            <w:rPr>
              <w:rFonts w:ascii="Book Antiqua" w:hAnsi="Book Antiqua" w:cs="Arial"/>
              <w:b/>
              <w:bCs/>
              <w:sz w:val="22"/>
              <w:szCs w:val="22"/>
              <w:lang w:val="en-IN"/>
            </w:rPr>
            <w:t>Nilgrar</w:t>
          </w:r>
          <w:proofErr w:type="spellEnd"/>
          <w:r w:rsidR="001C1450" w:rsidRPr="001C1450">
            <w:rPr>
              <w:rFonts w:ascii="Book Antiqua" w:hAnsi="Book Antiqua" w:cs="Arial"/>
              <w:b/>
              <w:bCs/>
              <w:sz w:val="22"/>
              <w:szCs w:val="22"/>
              <w:lang w:val="en-IN"/>
            </w:rPr>
            <w:t xml:space="preserve"> including 2 nos. of 25MVA, 220/33kV, 3-ph ICT &amp; 33kV Switchgears, (ii) LILO of one </w:t>
          </w:r>
          <w:proofErr w:type="spellStart"/>
          <w:r w:rsidR="001C1450" w:rsidRPr="001C1450">
            <w:rPr>
              <w:rFonts w:ascii="Book Antiqua" w:hAnsi="Book Antiqua" w:cs="Arial"/>
              <w:b/>
              <w:bCs/>
              <w:sz w:val="22"/>
              <w:szCs w:val="22"/>
              <w:lang w:val="en-IN"/>
            </w:rPr>
            <w:t>ckt</w:t>
          </w:r>
          <w:proofErr w:type="spellEnd"/>
          <w:r w:rsidR="001C1450" w:rsidRPr="001C1450">
            <w:rPr>
              <w:rFonts w:ascii="Book Antiqua" w:hAnsi="Book Antiqua" w:cs="Arial"/>
              <w:b/>
              <w:bCs/>
              <w:sz w:val="22"/>
              <w:szCs w:val="22"/>
              <w:lang w:val="en-IN"/>
            </w:rPr>
            <w:t xml:space="preserve"> of </w:t>
          </w:r>
          <w:proofErr w:type="spellStart"/>
          <w:r w:rsidR="001C1450" w:rsidRPr="001C1450">
            <w:rPr>
              <w:rFonts w:ascii="Book Antiqua" w:hAnsi="Book Antiqua" w:cs="Arial"/>
              <w:b/>
              <w:bCs/>
              <w:sz w:val="22"/>
              <w:szCs w:val="22"/>
              <w:lang w:val="en-IN"/>
            </w:rPr>
            <w:t>Alusteng</w:t>
          </w:r>
          <w:proofErr w:type="spellEnd"/>
          <w:r w:rsidR="001C1450" w:rsidRPr="001C1450">
            <w:rPr>
              <w:rFonts w:ascii="Book Antiqua" w:hAnsi="Book Antiqua" w:cs="Arial"/>
              <w:b/>
              <w:bCs/>
              <w:sz w:val="22"/>
              <w:szCs w:val="22"/>
              <w:lang w:val="en-IN"/>
            </w:rPr>
            <w:t xml:space="preserve"> – </w:t>
          </w:r>
          <w:proofErr w:type="spellStart"/>
          <w:r w:rsidR="001C1450" w:rsidRPr="001C1450">
            <w:rPr>
              <w:rFonts w:ascii="Book Antiqua" w:hAnsi="Book Antiqua" w:cs="Arial"/>
              <w:b/>
              <w:bCs/>
              <w:sz w:val="22"/>
              <w:szCs w:val="22"/>
              <w:lang w:val="en-IN"/>
            </w:rPr>
            <w:t>Leh</w:t>
          </w:r>
          <w:proofErr w:type="spellEnd"/>
          <w:r w:rsidR="001C1450" w:rsidRPr="001C1450">
            <w:rPr>
              <w:rFonts w:ascii="Book Antiqua" w:hAnsi="Book Antiqua" w:cs="Arial"/>
              <w:b/>
              <w:bCs/>
              <w:sz w:val="22"/>
              <w:szCs w:val="22"/>
              <w:lang w:val="en-IN"/>
            </w:rPr>
            <w:t xml:space="preserve"> 220KV S/c line on D/c towers at </w:t>
          </w:r>
          <w:proofErr w:type="spellStart"/>
          <w:r w:rsidR="001C1450" w:rsidRPr="001C1450">
            <w:rPr>
              <w:rFonts w:ascii="Book Antiqua" w:hAnsi="Book Antiqua" w:cs="Arial"/>
              <w:b/>
              <w:bCs/>
              <w:sz w:val="22"/>
              <w:szCs w:val="22"/>
              <w:lang w:val="en-IN"/>
            </w:rPr>
            <w:t>Nilgrar</w:t>
          </w:r>
          <w:proofErr w:type="spellEnd"/>
          <w:r w:rsidR="001C1450" w:rsidRPr="001C1450">
            <w:rPr>
              <w:rFonts w:ascii="Book Antiqua" w:hAnsi="Book Antiqua" w:cs="Arial"/>
              <w:b/>
              <w:bCs/>
              <w:sz w:val="22"/>
              <w:szCs w:val="22"/>
              <w:lang w:val="en-IN"/>
            </w:rPr>
            <w:t xml:space="preserve"> and (iii) Laying of 33 KV lines (consists of Overhead line (OH) and 33 kV Underground cable (UG)) under Western </w:t>
          </w:r>
          <w:proofErr w:type="spellStart"/>
          <w:r w:rsidR="001C1450" w:rsidRPr="001C1450">
            <w:rPr>
              <w:rFonts w:ascii="Book Antiqua" w:hAnsi="Book Antiqua" w:cs="Arial"/>
              <w:b/>
              <w:bCs/>
              <w:sz w:val="22"/>
              <w:szCs w:val="22"/>
              <w:lang w:val="en-IN"/>
            </w:rPr>
            <w:t>Zojila</w:t>
          </w:r>
          <w:proofErr w:type="spellEnd"/>
          <w:r w:rsidR="001C1450" w:rsidRPr="001C1450">
            <w:rPr>
              <w:rFonts w:ascii="Book Antiqua" w:hAnsi="Book Antiqua" w:cs="Arial"/>
              <w:b/>
              <w:bCs/>
              <w:sz w:val="22"/>
              <w:szCs w:val="22"/>
              <w:lang w:val="en-IN"/>
            </w:rPr>
            <w:t xml:space="preserve"> Consultancy Work to M/s. NHIDCL</w:t>
          </w:r>
          <w:r>
            <w:rPr>
              <w:rFonts w:ascii="Book Antiqua" w:hAnsi="Book Antiqua"/>
              <w:b/>
              <w:color w:val="000000" w:themeColor="text1"/>
              <w:sz w:val="22"/>
              <w:szCs w:val="22"/>
            </w:rPr>
            <w:t>;</w:t>
          </w:r>
          <w:r w:rsidRPr="007E70BB">
            <w:rPr>
              <w:rFonts w:ascii="Book Antiqua" w:hAnsi="Book Antiqua"/>
              <w:b/>
              <w:sz w:val="22"/>
              <w:szCs w:val="22"/>
            </w:rPr>
            <w:t xml:space="preserve"> </w:t>
          </w:r>
        </w:p>
        <w:p w:rsidR="00420711" w:rsidRPr="00BF54BC" w:rsidRDefault="00420711" w:rsidP="00DC03DE">
          <w:pPr>
            <w:jc w:val="both"/>
            <w:rPr>
              <w:rFonts w:ascii="Book Antiqua" w:hAnsi="Book Antiqua"/>
              <w:b/>
              <w:bCs/>
              <w:sz w:val="22"/>
              <w:szCs w:val="22"/>
            </w:rPr>
          </w:pPr>
          <w:r w:rsidRPr="007E70BB">
            <w:rPr>
              <w:rFonts w:ascii="Book Antiqua" w:hAnsi="Book Antiqua"/>
              <w:b/>
              <w:sz w:val="22"/>
              <w:szCs w:val="22"/>
            </w:rPr>
            <w:t xml:space="preserve">Spec. No: </w:t>
          </w:r>
          <w:r w:rsidR="001C1450" w:rsidRPr="001C1450">
            <w:rPr>
              <w:rFonts w:ascii="Book Antiqua" w:hAnsi="Book Antiqua"/>
              <w:b/>
              <w:bCs/>
              <w:sz w:val="22"/>
              <w:szCs w:val="22"/>
            </w:rPr>
            <w:t>CC/NT/GIS/DOM/A04/22/00408</w:t>
          </w:r>
          <w:r w:rsidRPr="007E70BB">
            <w:rPr>
              <w:rFonts w:ascii="Book Antiqua" w:hAnsi="Book Antiqua"/>
              <w:b/>
              <w:bCs/>
              <w:sz w:val="22"/>
              <w:szCs w:val="22"/>
            </w:rPr>
            <w:t>.</w:t>
          </w:r>
        </w:p>
      </w:tc>
    </w:tr>
  </w:tbl>
  <w:p w:rsidR="00420711" w:rsidRPr="00B160BC" w:rsidRDefault="00420711" w:rsidP="006D70CB">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4CA6B3D"/>
    <w:multiLevelType w:val="hybridMultilevel"/>
    <w:tmpl w:val="ABA2DBB2"/>
    <w:lvl w:ilvl="0" w:tplc="EDA42A0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F4C49"/>
    <w:multiLevelType w:val="hybridMultilevel"/>
    <w:tmpl w:val="643A7DDC"/>
    <w:lvl w:ilvl="0" w:tplc="5244842E">
      <w:start w:val="1"/>
      <w:numFmt w:val="lowerLetter"/>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6"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48D659F"/>
    <w:multiLevelType w:val="hybridMultilevel"/>
    <w:tmpl w:val="D8002EC8"/>
    <w:lvl w:ilvl="0" w:tplc="36A0ED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3F0012CF"/>
    <w:multiLevelType w:val="hybridMultilevel"/>
    <w:tmpl w:val="F17A7D6C"/>
    <w:lvl w:ilvl="0" w:tplc="236644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19"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20"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21"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DA6400"/>
    <w:multiLevelType w:val="hybridMultilevel"/>
    <w:tmpl w:val="30AC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8D395A"/>
    <w:multiLevelType w:val="hybridMultilevel"/>
    <w:tmpl w:val="F8CEB31E"/>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3"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39"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1"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4"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5"/>
  </w:num>
  <w:num w:numId="2">
    <w:abstractNumId w:val="33"/>
  </w:num>
  <w:num w:numId="3">
    <w:abstractNumId w:val="0"/>
  </w:num>
  <w:num w:numId="4">
    <w:abstractNumId w:val="43"/>
  </w:num>
  <w:num w:numId="5">
    <w:abstractNumId w:val="27"/>
  </w:num>
  <w:num w:numId="6">
    <w:abstractNumId w:val="13"/>
  </w:num>
  <w:num w:numId="7">
    <w:abstractNumId w:val="8"/>
  </w:num>
  <w:num w:numId="8">
    <w:abstractNumId w:val="26"/>
  </w:num>
  <w:num w:numId="9">
    <w:abstractNumId w:val="37"/>
  </w:num>
  <w:num w:numId="10">
    <w:abstractNumId w:val="24"/>
  </w:num>
  <w:num w:numId="11">
    <w:abstractNumId w:val="35"/>
  </w:num>
  <w:num w:numId="12">
    <w:abstractNumId w:val="28"/>
  </w:num>
  <w:num w:numId="13">
    <w:abstractNumId w:val="42"/>
  </w:num>
  <w:num w:numId="14">
    <w:abstractNumId w:val="41"/>
  </w:num>
  <w:num w:numId="15">
    <w:abstractNumId w:val="7"/>
  </w:num>
  <w:num w:numId="16">
    <w:abstractNumId w:val="19"/>
  </w:num>
  <w:num w:numId="17">
    <w:abstractNumId w:val="38"/>
  </w:num>
  <w:num w:numId="18">
    <w:abstractNumId w:val="18"/>
  </w:num>
  <w:num w:numId="19">
    <w:abstractNumId w:val="5"/>
  </w:num>
  <w:num w:numId="20">
    <w:abstractNumId w:val="16"/>
  </w:num>
  <w:num w:numId="21">
    <w:abstractNumId w:val="30"/>
  </w:num>
  <w:num w:numId="22">
    <w:abstractNumId w:val="21"/>
  </w:num>
  <w:num w:numId="23">
    <w:abstractNumId w:val="2"/>
  </w:num>
  <w:num w:numId="24">
    <w:abstractNumId w:val="23"/>
  </w:num>
  <w:num w:numId="25">
    <w:abstractNumId w:val="9"/>
  </w:num>
  <w:num w:numId="26">
    <w:abstractNumId w:val="39"/>
  </w:num>
  <w:num w:numId="27">
    <w:abstractNumId w:val="20"/>
  </w:num>
  <w:num w:numId="28">
    <w:abstractNumId w:val="40"/>
  </w:num>
  <w:num w:numId="29">
    <w:abstractNumId w:val="14"/>
  </w:num>
  <w:num w:numId="30">
    <w:abstractNumId w:val="36"/>
  </w:num>
  <w:num w:numId="31">
    <w:abstractNumId w:val="6"/>
  </w:num>
  <w:num w:numId="32">
    <w:abstractNumId w:val="44"/>
  </w:num>
  <w:num w:numId="33">
    <w:abstractNumId w:val="12"/>
  </w:num>
  <w:num w:numId="34">
    <w:abstractNumId w:val="22"/>
  </w:num>
  <w:num w:numId="35">
    <w:abstractNumId w:val="29"/>
  </w:num>
  <w:num w:numId="36">
    <w:abstractNumId w:val="17"/>
  </w:num>
  <w:num w:numId="37">
    <w:abstractNumId w:val="10"/>
  </w:num>
  <w:num w:numId="38">
    <w:abstractNumId w:val="34"/>
  </w:num>
  <w:num w:numId="39">
    <w:abstractNumId w:val="3"/>
  </w:num>
  <w:num w:numId="40">
    <w:abstractNumId w:val="32"/>
  </w:num>
  <w:num w:numId="41">
    <w:abstractNumId w:val="31"/>
  </w:num>
  <w:num w:numId="42">
    <w:abstractNumId w:val="4"/>
  </w:num>
  <w:num w:numId="43">
    <w:abstractNumId w:val="15"/>
  </w:num>
  <w:num w:numId="44">
    <w:abstractNumId w:val="1"/>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58C3"/>
    <w:rsid w:val="000012A6"/>
    <w:rsid w:val="0000166F"/>
    <w:rsid w:val="00014CD8"/>
    <w:rsid w:val="000152D2"/>
    <w:rsid w:val="00015DBB"/>
    <w:rsid w:val="00021BE2"/>
    <w:rsid w:val="000237B9"/>
    <w:rsid w:val="00026CAB"/>
    <w:rsid w:val="00041947"/>
    <w:rsid w:val="000612C3"/>
    <w:rsid w:val="00064FCF"/>
    <w:rsid w:val="0006731B"/>
    <w:rsid w:val="000704AD"/>
    <w:rsid w:val="00070D1F"/>
    <w:rsid w:val="00073CDB"/>
    <w:rsid w:val="00074E83"/>
    <w:rsid w:val="0007667A"/>
    <w:rsid w:val="000826C9"/>
    <w:rsid w:val="00083C9A"/>
    <w:rsid w:val="00086EE7"/>
    <w:rsid w:val="000A5175"/>
    <w:rsid w:val="000B3FB4"/>
    <w:rsid w:val="000B5E16"/>
    <w:rsid w:val="000C7551"/>
    <w:rsid w:val="000D42FC"/>
    <w:rsid w:val="000D58CC"/>
    <w:rsid w:val="000F0F68"/>
    <w:rsid w:val="000F290C"/>
    <w:rsid w:val="000F73ED"/>
    <w:rsid w:val="000F7DBB"/>
    <w:rsid w:val="001027EA"/>
    <w:rsid w:val="0010335F"/>
    <w:rsid w:val="00112B6D"/>
    <w:rsid w:val="00115831"/>
    <w:rsid w:val="00126EA4"/>
    <w:rsid w:val="00137098"/>
    <w:rsid w:val="00141EB6"/>
    <w:rsid w:val="00152B52"/>
    <w:rsid w:val="00152BAF"/>
    <w:rsid w:val="001558B7"/>
    <w:rsid w:val="00157F83"/>
    <w:rsid w:val="001765C0"/>
    <w:rsid w:val="001811BC"/>
    <w:rsid w:val="001815F6"/>
    <w:rsid w:val="00182E9E"/>
    <w:rsid w:val="001842D5"/>
    <w:rsid w:val="00194693"/>
    <w:rsid w:val="001955A5"/>
    <w:rsid w:val="00195D8B"/>
    <w:rsid w:val="0019637B"/>
    <w:rsid w:val="00196595"/>
    <w:rsid w:val="001A13F0"/>
    <w:rsid w:val="001A2FB2"/>
    <w:rsid w:val="001A5B21"/>
    <w:rsid w:val="001A7A73"/>
    <w:rsid w:val="001B5D9B"/>
    <w:rsid w:val="001B6477"/>
    <w:rsid w:val="001C1450"/>
    <w:rsid w:val="001C3D91"/>
    <w:rsid w:val="001C7301"/>
    <w:rsid w:val="001D046D"/>
    <w:rsid w:val="001D4621"/>
    <w:rsid w:val="001D7392"/>
    <w:rsid w:val="001E3A76"/>
    <w:rsid w:val="001E7507"/>
    <w:rsid w:val="00206C86"/>
    <w:rsid w:val="002121D4"/>
    <w:rsid w:val="002125A6"/>
    <w:rsid w:val="00213AA4"/>
    <w:rsid w:val="00216FD0"/>
    <w:rsid w:val="00217196"/>
    <w:rsid w:val="00221D8C"/>
    <w:rsid w:val="00221DE3"/>
    <w:rsid w:val="00223593"/>
    <w:rsid w:val="00227E62"/>
    <w:rsid w:val="00242FEA"/>
    <w:rsid w:val="002460BE"/>
    <w:rsid w:val="0025058C"/>
    <w:rsid w:val="002522D0"/>
    <w:rsid w:val="0025388F"/>
    <w:rsid w:val="00253F52"/>
    <w:rsid w:val="00255A74"/>
    <w:rsid w:val="00256D90"/>
    <w:rsid w:val="00281658"/>
    <w:rsid w:val="00282E03"/>
    <w:rsid w:val="00283D07"/>
    <w:rsid w:val="00287889"/>
    <w:rsid w:val="00287B1F"/>
    <w:rsid w:val="00287B4F"/>
    <w:rsid w:val="00290AD1"/>
    <w:rsid w:val="002929D0"/>
    <w:rsid w:val="0029774D"/>
    <w:rsid w:val="002A5DAB"/>
    <w:rsid w:val="002A650F"/>
    <w:rsid w:val="002A7181"/>
    <w:rsid w:val="002B24BD"/>
    <w:rsid w:val="002B2864"/>
    <w:rsid w:val="002B3356"/>
    <w:rsid w:val="002B6A93"/>
    <w:rsid w:val="002C2DE8"/>
    <w:rsid w:val="002C3C28"/>
    <w:rsid w:val="002C5765"/>
    <w:rsid w:val="002C7A8D"/>
    <w:rsid w:val="002D7285"/>
    <w:rsid w:val="002E62F9"/>
    <w:rsid w:val="002F44E6"/>
    <w:rsid w:val="00310CED"/>
    <w:rsid w:val="00316724"/>
    <w:rsid w:val="0031728D"/>
    <w:rsid w:val="00317A0E"/>
    <w:rsid w:val="00320DD0"/>
    <w:rsid w:val="003213BD"/>
    <w:rsid w:val="003217CC"/>
    <w:rsid w:val="003217DC"/>
    <w:rsid w:val="00322CF4"/>
    <w:rsid w:val="00326C7A"/>
    <w:rsid w:val="003349DB"/>
    <w:rsid w:val="0034370C"/>
    <w:rsid w:val="00345C6A"/>
    <w:rsid w:val="00346339"/>
    <w:rsid w:val="00347E71"/>
    <w:rsid w:val="0035182E"/>
    <w:rsid w:val="00360A76"/>
    <w:rsid w:val="00360E2F"/>
    <w:rsid w:val="00362305"/>
    <w:rsid w:val="003634FB"/>
    <w:rsid w:val="00363C7C"/>
    <w:rsid w:val="00373AE7"/>
    <w:rsid w:val="00374A56"/>
    <w:rsid w:val="00374D09"/>
    <w:rsid w:val="003756C7"/>
    <w:rsid w:val="00380E7E"/>
    <w:rsid w:val="003832AE"/>
    <w:rsid w:val="0038755E"/>
    <w:rsid w:val="00390751"/>
    <w:rsid w:val="00393F24"/>
    <w:rsid w:val="003962F5"/>
    <w:rsid w:val="0039717A"/>
    <w:rsid w:val="003971EC"/>
    <w:rsid w:val="003A02F7"/>
    <w:rsid w:val="003A0449"/>
    <w:rsid w:val="003A4409"/>
    <w:rsid w:val="003A678A"/>
    <w:rsid w:val="003C1724"/>
    <w:rsid w:val="003C1B60"/>
    <w:rsid w:val="003C2DE3"/>
    <w:rsid w:val="003C4039"/>
    <w:rsid w:val="003C43F0"/>
    <w:rsid w:val="003C452B"/>
    <w:rsid w:val="003C7962"/>
    <w:rsid w:val="003D40BF"/>
    <w:rsid w:val="003D630D"/>
    <w:rsid w:val="003E1327"/>
    <w:rsid w:val="003E3339"/>
    <w:rsid w:val="003E450D"/>
    <w:rsid w:val="003E47AD"/>
    <w:rsid w:val="003E4B84"/>
    <w:rsid w:val="003E5109"/>
    <w:rsid w:val="003E5CEC"/>
    <w:rsid w:val="003F0C5C"/>
    <w:rsid w:val="003F27E4"/>
    <w:rsid w:val="003F3708"/>
    <w:rsid w:val="003F4989"/>
    <w:rsid w:val="00402EF8"/>
    <w:rsid w:val="00410A01"/>
    <w:rsid w:val="00413D0E"/>
    <w:rsid w:val="00416417"/>
    <w:rsid w:val="004165D0"/>
    <w:rsid w:val="00420711"/>
    <w:rsid w:val="00420F31"/>
    <w:rsid w:val="00431092"/>
    <w:rsid w:val="00431CE5"/>
    <w:rsid w:val="00431D28"/>
    <w:rsid w:val="00431EB4"/>
    <w:rsid w:val="00432023"/>
    <w:rsid w:val="004341D7"/>
    <w:rsid w:val="004341F0"/>
    <w:rsid w:val="004420F7"/>
    <w:rsid w:val="00442E9C"/>
    <w:rsid w:val="004432AD"/>
    <w:rsid w:val="00445307"/>
    <w:rsid w:val="00451923"/>
    <w:rsid w:val="00466112"/>
    <w:rsid w:val="00473E39"/>
    <w:rsid w:val="00475D58"/>
    <w:rsid w:val="004760F6"/>
    <w:rsid w:val="0047791F"/>
    <w:rsid w:val="004808B1"/>
    <w:rsid w:val="00483A22"/>
    <w:rsid w:val="00486A62"/>
    <w:rsid w:val="0049058B"/>
    <w:rsid w:val="00490D24"/>
    <w:rsid w:val="004910F0"/>
    <w:rsid w:val="0049501A"/>
    <w:rsid w:val="004A33C2"/>
    <w:rsid w:val="004A4987"/>
    <w:rsid w:val="004A5626"/>
    <w:rsid w:val="004B19A2"/>
    <w:rsid w:val="004B4D48"/>
    <w:rsid w:val="004B548E"/>
    <w:rsid w:val="004C1079"/>
    <w:rsid w:val="004C6051"/>
    <w:rsid w:val="004D1B48"/>
    <w:rsid w:val="004D31B3"/>
    <w:rsid w:val="004E067E"/>
    <w:rsid w:val="004E2325"/>
    <w:rsid w:val="004F5E25"/>
    <w:rsid w:val="00503FC8"/>
    <w:rsid w:val="005051D8"/>
    <w:rsid w:val="00505812"/>
    <w:rsid w:val="005107BE"/>
    <w:rsid w:val="00514676"/>
    <w:rsid w:val="00515A5D"/>
    <w:rsid w:val="00520068"/>
    <w:rsid w:val="00520DC5"/>
    <w:rsid w:val="00521183"/>
    <w:rsid w:val="00521C6F"/>
    <w:rsid w:val="00523A7E"/>
    <w:rsid w:val="00524BDB"/>
    <w:rsid w:val="0052528C"/>
    <w:rsid w:val="005262F6"/>
    <w:rsid w:val="005347D4"/>
    <w:rsid w:val="005503A9"/>
    <w:rsid w:val="00565D83"/>
    <w:rsid w:val="00566B60"/>
    <w:rsid w:val="005714A3"/>
    <w:rsid w:val="00582E05"/>
    <w:rsid w:val="00584F7C"/>
    <w:rsid w:val="00587CB8"/>
    <w:rsid w:val="00594628"/>
    <w:rsid w:val="005947ED"/>
    <w:rsid w:val="00595DA9"/>
    <w:rsid w:val="00596A80"/>
    <w:rsid w:val="00597118"/>
    <w:rsid w:val="005A3BA8"/>
    <w:rsid w:val="005A6237"/>
    <w:rsid w:val="005B075A"/>
    <w:rsid w:val="005B739E"/>
    <w:rsid w:val="005C0687"/>
    <w:rsid w:val="005C2E57"/>
    <w:rsid w:val="005D2FDA"/>
    <w:rsid w:val="005D5880"/>
    <w:rsid w:val="005D72AB"/>
    <w:rsid w:val="005E10FB"/>
    <w:rsid w:val="005E1281"/>
    <w:rsid w:val="005E1FAE"/>
    <w:rsid w:val="005E292D"/>
    <w:rsid w:val="005E5AEF"/>
    <w:rsid w:val="005F10F9"/>
    <w:rsid w:val="005F2687"/>
    <w:rsid w:val="005F487E"/>
    <w:rsid w:val="0060262D"/>
    <w:rsid w:val="00605408"/>
    <w:rsid w:val="00606105"/>
    <w:rsid w:val="006067AE"/>
    <w:rsid w:val="00612394"/>
    <w:rsid w:val="006135AB"/>
    <w:rsid w:val="006175D8"/>
    <w:rsid w:val="00620918"/>
    <w:rsid w:val="0062351F"/>
    <w:rsid w:val="00624F12"/>
    <w:rsid w:val="006314BA"/>
    <w:rsid w:val="00631DD4"/>
    <w:rsid w:val="00632091"/>
    <w:rsid w:val="006425F5"/>
    <w:rsid w:val="006445E0"/>
    <w:rsid w:val="0064723B"/>
    <w:rsid w:val="0065174F"/>
    <w:rsid w:val="00655D37"/>
    <w:rsid w:val="006601DD"/>
    <w:rsid w:val="00660929"/>
    <w:rsid w:val="00663F14"/>
    <w:rsid w:val="00667132"/>
    <w:rsid w:val="00672313"/>
    <w:rsid w:val="00673AD6"/>
    <w:rsid w:val="00676BDE"/>
    <w:rsid w:val="00691F88"/>
    <w:rsid w:val="00697397"/>
    <w:rsid w:val="006A3169"/>
    <w:rsid w:val="006A5432"/>
    <w:rsid w:val="006B4399"/>
    <w:rsid w:val="006B7F05"/>
    <w:rsid w:val="006C2A3B"/>
    <w:rsid w:val="006C2F59"/>
    <w:rsid w:val="006D1453"/>
    <w:rsid w:val="006D1DF9"/>
    <w:rsid w:val="006D4278"/>
    <w:rsid w:val="006D4440"/>
    <w:rsid w:val="006D70CB"/>
    <w:rsid w:val="006E5B9E"/>
    <w:rsid w:val="006F3A93"/>
    <w:rsid w:val="006F3EBA"/>
    <w:rsid w:val="006F5CA0"/>
    <w:rsid w:val="006F64D1"/>
    <w:rsid w:val="007056BF"/>
    <w:rsid w:val="00706E60"/>
    <w:rsid w:val="00713770"/>
    <w:rsid w:val="00713E18"/>
    <w:rsid w:val="007200EF"/>
    <w:rsid w:val="007237B3"/>
    <w:rsid w:val="00734FF8"/>
    <w:rsid w:val="00736B7E"/>
    <w:rsid w:val="007373E9"/>
    <w:rsid w:val="00741C71"/>
    <w:rsid w:val="007441BE"/>
    <w:rsid w:val="007445EB"/>
    <w:rsid w:val="0075625E"/>
    <w:rsid w:val="007566E7"/>
    <w:rsid w:val="00760658"/>
    <w:rsid w:val="00760DAC"/>
    <w:rsid w:val="00766D86"/>
    <w:rsid w:val="00770CD8"/>
    <w:rsid w:val="00771372"/>
    <w:rsid w:val="00774F24"/>
    <w:rsid w:val="00775AB1"/>
    <w:rsid w:val="007764C4"/>
    <w:rsid w:val="00783A6E"/>
    <w:rsid w:val="00785C4A"/>
    <w:rsid w:val="007925A8"/>
    <w:rsid w:val="00792BAF"/>
    <w:rsid w:val="0079420E"/>
    <w:rsid w:val="007951EE"/>
    <w:rsid w:val="0079643B"/>
    <w:rsid w:val="007A6779"/>
    <w:rsid w:val="007B2CA1"/>
    <w:rsid w:val="007B4558"/>
    <w:rsid w:val="007B6091"/>
    <w:rsid w:val="007B79DB"/>
    <w:rsid w:val="007C5A96"/>
    <w:rsid w:val="007D0299"/>
    <w:rsid w:val="007D0AF5"/>
    <w:rsid w:val="007D1604"/>
    <w:rsid w:val="007D33DD"/>
    <w:rsid w:val="007D37B5"/>
    <w:rsid w:val="007D57D9"/>
    <w:rsid w:val="007D7DD4"/>
    <w:rsid w:val="007F0214"/>
    <w:rsid w:val="007F28B4"/>
    <w:rsid w:val="00803DC9"/>
    <w:rsid w:val="00805425"/>
    <w:rsid w:val="00810AF1"/>
    <w:rsid w:val="00816E5D"/>
    <w:rsid w:val="00817064"/>
    <w:rsid w:val="008175E1"/>
    <w:rsid w:val="00823589"/>
    <w:rsid w:val="00834FB0"/>
    <w:rsid w:val="00842DB3"/>
    <w:rsid w:val="00843D35"/>
    <w:rsid w:val="00844529"/>
    <w:rsid w:val="00845E28"/>
    <w:rsid w:val="008470AA"/>
    <w:rsid w:val="0085609B"/>
    <w:rsid w:val="00866047"/>
    <w:rsid w:val="0086639A"/>
    <w:rsid w:val="00871D8B"/>
    <w:rsid w:val="00872800"/>
    <w:rsid w:val="00880359"/>
    <w:rsid w:val="00880AE4"/>
    <w:rsid w:val="00880F01"/>
    <w:rsid w:val="0089176B"/>
    <w:rsid w:val="00896DE2"/>
    <w:rsid w:val="008A1D99"/>
    <w:rsid w:val="008B3AFA"/>
    <w:rsid w:val="008B48A2"/>
    <w:rsid w:val="008C229E"/>
    <w:rsid w:val="008C565D"/>
    <w:rsid w:val="008D47B5"/>
    <w:rsid w:val="008D4CC4"/>
    <w:rsid w:val="008D7350"/>
    <w:rsid w:val="008E08B1"/>
    <w:rsid w:val="008E72C2"/>
    <w:rsid w:val="008F24FD"/>
    <w:rsid w:val="008F2615"/>
    <w:rsid w:val="00902B8F"/>
    <w:rsid w:val="00905902"/>
    <w:rsid w:val="00911391"/>
    <w:rsid w:val="00912C09"/>
    <w:rsid w:val="009151B2"/>
    <w:rsid w:val="00917E8F"/>
    <w:rsid w:val="00920AEC"/>
    <w:rsid w:val="00920EEB"/>
    <w:rsid w:val="00921343"/>
    <w:rsid w:val="00923227"/>
    <w:rsid w:val="009266F2"/>
    <w:rsid w:val="00936FD2"/>
    <w:rsid w:val="00950872"/>
    <w:rsid w:val="00954A9F"/>
    <w:rsid w:val="00956B78"/>
    <w:rsid w:val="00964494"/>
    <w:rsid w:val="00965E95"/>
    <w:rsid w:val="009672A9"/>
    <w:rsid w:val="00971BCD"/>
    <w:rsid w:val="00972DA0"/>
    <w:rsid w:val="009753A4"/>
    <w:rsid w:val="0097721D"/>
    <w:rsid w:val="00982733"/>
    <w:rsid w:val="00996D3F"/>
    <w:rsid w:val="009A0285"/>
    <w:rsid w:val="009A0650"/>
    <w:rsid w:val="009A1CEA"/>
    <w:rsid w:val="009A20BB"/>
    <w:rsid w:val="009A3B15"/>
    <w:rsid w:val="009B415D"/>
    <w:rsid w:val="009B5381"/>
    <w:rsid w:val="009B5BB5"/>
    <w:rsid w:val="009B7940"/>
    <w:rsid w:val="009B7D56"/>
    <w:rsid w:val="009C2256"/>
    <w:rsid w:val="009C25E2"/>
    <w:rsid w:val="009C26D9"/>
    <w:rsid w:val="009C3061"/>
    <w:rsid w:val="009D3B3C"/>
    <w:rsid w:val="009D6B09"/>
    <w:rsid w:val="009E5D3E"/>
    <w:rsid w:val="009F30AA"/>
    <w:rsid w:val="009F6EFF"/>
    <w:rsid w:val="009F72B6"/>
    <w:rsid w:val="009F7EC6"/>
    <w:rsid w:val="00A005CB"/>
    <w:rsid w:val="00A03489"/>
    <w:rsid w:val="00A1212C"/>
    <w:rsid w:val="00A213F6"/>
    <w:rsid w:val="00A24296"/>
    <w:rsid w:val="00A27024"/>
    <w:rsid w:val="00A30DFF"/>
    <w:rsid w:val="00A33B1C"/>
    <w:rsid w:val="00A36330"/>
    <w:rsid w:val="00A365D9"/>
    <w:rsid w:val="00A371EF"/>
    <w:rsid w:val="00A43779"/>
    <w:rsid w:val="00A47613"/>
    <w:rsid w:val="00A638CC"/>
    <w:rsid w:val="00A64769"/>
    <w:rsid w:val="00A651EE"/>
    <w:rsid w:val="00A7334C"/>
    <w:rsid w:val="00A7545C"/>
    <w:rsid w:val="00A8292C"/>
    <w:rsid w:val="00A8523F"/>
    <w:rsid w:val="00A91710"/>
    <w:rsid w:val="00A91F87"/>
    <w:rsid w:val="00A92D9E"/>
    <w:rsid w:val="00A95ED5"/>
    <w:rsid w:val="00A96528"/>
    <w:rsid w:val="00AA1DB7"/>
    <w:rsid w:val="00AA34E0"/>
    <w:rsid w:val="00AA7E89"/>
    <w:rsid w:val="00AB0CDE"/>
    <w:rsid w:val="00AB2EC7"/>
    <w:rsid w:val="00AC2A43"/>
    <w:rsid w:val="00AC7D28"/>
    <w:rsid w:val="00AD494E"/>
    <w:rsid w:val="00AD602B"/>
    <w:rsid w:val="00AE03A1"/>
    <w:rsid w:val="00AE3F91"/>
    <w:rsid w:val="00AE6BDE"/>
    <w:rsid w:val="00AF203E"/>
    <w:rsid w:val="00AF2130"/>
    <w:rsid w:val="00AF3618"/>
    <w:rsid w:val="00AF4270"/>
    <w:rsid w:val="00AF692C"/>
    <w:rsid w:val="00AF73A5"/>
    <w:rsid w:val="00B101BD"/>
    <w:rsid w:val="00B160BC"/>
    <w:rsid w:val="00B172D4"/>
    <w:rsid w:val="00B211C4"/>
    <w:rsid w:val="00B25F22"/>
    <w:rsid w:val="00B30456"/>
    <w:rsid w:val="00B339DE"/>
    <w:rsid w:val="00B33E48"/>
    <w:rsid w:val="00B406CE"/>
    <w:rsid w:val="00B40AAD"/>
    <w:rsid w:val="00B44BDF"/>
    <w:rsid w:val="00B46B15"/>
    <w:rsid w:val="00B5023E"/>
    <w:rsid w:val="00B619C6"/>
    <w:rsid w:val="00B6269C"/>
    <w:rsid w:val="00B65B07"/>
    <w:rsid w:val="00B766DC"/>
    <w:rsid w:val="00B81E6F"/>
    <w:rsid w:val="00B87890"/>
    <w:rsid w:val="00B92AFD"/>
    <w:rsid w:val="00BA463F"/>
    <w:rsid w:val="00BB289C"/>
    <w:rsid w:val="00BB2DCE"/>
    <w:rsid w:val="00BC3B05"/>
    <w:rsid w:val="00BC667D"/>
    <w:rsid w:val="00BC6ED9"/>
    <w:rsid w:val="00BD3414"/>
    <w:rsid w:val="00BD370F"/>
    <w:rsid w:val="00BD3D06"/>
    <w:rsid w:val="00BD4D34"/>
    <w:rsid w:val="00BE6947"/>
    <w:rsid w:val="00BF226E"/>
    <w:rsid w:val="00BF54BC"/>
    <w:rsid w:val="00C01A5D"/>
    <w:rsid w:val="00C05CE3"/>
    <w:rsid w:val="00C06C74"/>
    <w:rsid w:val="00C1074A"/>
    <w:rsid w:val="00C12738"/>
    <w:rsid w:val="00C147DB"/>
    <w:rsid w:val="00C1638E"/>
    <w:rsid w:val="00C2403F"/>
    <w:rsid w:val="00C254E1"/>
    <w:rsid w:val="00C30687"/>
    <w:rsid w:val="00C30D8D"/>
    <w:rsid w:val="00C35094"/>
    <w:rsid w:val="00C4397E"/>
    <w:rsid w:val="00C71D2B"/>
    <w:rsid w:val="00C806CF"/>
    <w:rsid w:val="00C82082"/>
    <w:rsid w:val="00C836B0"/>
    <w:rsid w:val="00C83FFC"/>
    <w:rsid w:val="00C84788"/>
    <w:rsid w:val="00C91DC4"/>
    <w:rsid w:val="00C9258D"/>
    <w:rsid w:val="00C968E1"/>
    <w:rsid w:val="00C9724B"/>
    <w:rsid w:val="00CA1D8F"/>
    <w:rsid w:val="00CA4F52"/>
    <w:rsid w:val="00CA51E1"/>
    <w:rsid w:val="00CA7019"/>
    <w:rsid w:val="00CB0523"/>
    <w:rsid w:val="00CB25FC"/>
    <w:rsid w:val="00CD2F04"/>
    <w:rsid w:val="00CD5834"/>
    <w:rsid w:val="00CD7829"/>
    <w:rsid w:val="00CE2D78"/>
    <w:rsid w:val="00CE3733"/>
    <w:rsid w:val="00CF4103"/>
    <w:rsid w:val="00CF6A3D"/>
    <w:rsid w:val="00CF7B30"/>
    <w:rsid w:val="00D0061B"/>
    <w:rsid w:val="00D01420"/>
    <w:rsid w:val="00D01A85"/>
    <w:rsid w:val="00D0313D"/>
    <w:rsid w:val="00D045C0"/>
    <w:rsid w:val="00D04D78"/>
    <w:rsid w:val="00D06262"/>
    <w:rsid w:val="00D06E14"/>
    <w:rsid w:val="00D11A41"/>
    <w:rsid w:val="00D157F1"/>
    <w:rsid w:val="00D24F3F"/>
    <w:rsid w:val="00D3141D"/>
    <w:rsid w:val="00D327B7"/>
    <w:rsid w:val="00D350DD"/>
    <w:rsid w:val="00D3768C"/>
    <w:rsid w:val="00D41F92"/>
    <w:rsid w:val="00D4608F"/>
    <w:rsid w:val="00D460D7"/>
    <w:rsid w:val="00D46699"/>
    <w:rsid w:val="00D50874"/>
    <w:rsid w:val="00D52A95"/>
    <w:rsid w:val="00D561CA"/>
    <w:rsid w:val="00D56520"/>
    <w:rsid w:val="00D5715E"/>
    <w:rsid w:val="00D741AB"/>
    <w:rsid w:val="00D74624"/>
    <w:rsid w:val="00D74A26"/>
    <w:rsid w:val="00D75645"/>
    <w:rsid w:val="00D76223"/>
    <w:rsid w:val="00D77694"/>
    <w:rsid w:val="00D85042"/>
    <w:rsid w:val="00D86CE0"/>
    <w:rsid w:val="00D97E4D"/>
    <w:rsid w:val="00DA0CFF"/>
    <w:rsid w:val="00DA13EF"/>
    <w:rsid w:val="00DA5F0F"/>
    <w:rsid w:val="00DB731B"/>
    <w:rsid w:val="00DC03DE"/>
    <w:rsid w:val="00DC2C25"/>
    <w:rsid w:val="00DC6E45"/>
    <w:rsid w:val="00DC6FA8"/>
    <w:rsid w:val="00DD03EF"/>
    <w:rsid w:val="00DD2645"/>
    <w:rsid w:val="00DD5953"/>
    <w:rsid w:val="00DE101A"/>
    <w:rsid w:val="00DE3B22"/>
    <w:rsid w:val="00DE4402"/>
    <w:rsid w:val="00DE77B7"/>
    <w:rsid w:val="00DF0839"/>
    <w:rsid w:val="00DF3126"/>
    <w:rsid w:val="00DF5105"/>
    <w:rsid w:val="00E03679"/>
    <w:rsid w:val="00E05D0F"/>
    <w:rsid w:val="00E16608"/>
    <w:rsid w:val="00E220A5"/>
    <w:rsid w:val="00E22844"/>
    <w:rsid w:val="00E25E42"/>
    <w:rsid w:val="00E26368"/>
    <w:rsid w:val="00E30177"/>
    <w:rsid w:val="00E305C0"/>
    <w:rsid w:val="00E309DC"/>
    <w:rsid w:val="00E33533"/>
    <w:rsid w:val="00E358C3"/>
    <w:rsid w:val="00E3624D"/>
    <w:rsid w:val="00E36A7A"/>
    <w:rsid w:val="00E42CBA"/>
    <w:rsid w:val="00E50E99"/>
    <w:rsid w:val="00E51CA4"/>
    <w:rsid w:val="00E52101"/>
    <w:rsid w:val="00E52424"/>
    <w:rsid w:val="00E5350C"/>
    <w:rsid w:val="00E676E4"/>
    <w:rsid w:val="00E70CA7"/>
    <w:rsid w:val="00E73BED"/>
    <w:rsid w:val="00E74697"/>
    <w:rsid w:val="00E82210"/>
    <w:rsid w:val="00E90C3D"/>
    <w:rsid w:val="00E9271D"/>
    <w:rsid w:val="00E93348"/>
    <w:rsid w:val="00E93569"/>
    <w:rsid w:val="00EB589C"/>
    <w:rsid w:val="00ED5074"/>
    <w:rsid w:val="00ED6FE6"/>
    <w:rsid w:val="00ED703D"/>
    <w:rsid w:val="00EE1DE9"/>
    <w:rsid w:val="00EE2A7E"/>
    <w:rsid w:val="00EE33BE"/>
    <w:rsid w:val="00EE4923"/>
    <w:rsid w:val="00EF0AF5"/>
    <w:rsid w:val="00EF1E3F"/>
    <w:rsid w:val="00F01625"/>
    <w:rsid w:val="00F12B00"/>
    <w:rsid w:val="00F16730"/>
    <w:rsid w:val="00F22386"/>
    <w:rsid w:val="00F23ED1"/>
    <w:rsid w:val="00F26764"/>
    <w:rsid w:val="00F27981"/>
    <w:rsid w:val="00F30E72"/>
    <w:rsid w:val="00F435E3"/>
    <w:rsid w:val="00F442FE"/>
    <w:rsid w:val="00F56591"/>
    <w:rsid w:val="00F63F1F"/>
    <w:rsid w:val="00F67289"/>
    <w:rsid w:val="00F73AE0"/>
    <w:rsid w:val="00F811CE"/>
    <w:rsid w:val="00F85643"/>
    <w:rsid w:val="00F902AE"/>
    <w:rsid w:val="00F90D3C"/>
    <w:rsid w:val="00F94A70"/>
    <w:rsid w:val="00F96DCF"/>
    <w:rsid w:val="00F97BF7"/>
    <w:rsid w:val="00FA1370"/>
    <w:rsid w:val="00FA17E5"/>
    <w:rsid w:val="00FA26A9"/>
    <w:rsid w:val="00FA4DD2"/>
    <w:rsid w:val="00FA5E2E"/>
    <w:rsid w:val="00FA6B0E"/>
    <w:rsid w:val="00FB51A0"/>
    <w:rsid w:val="00FB5A2B"/>
    <w:rsid w:val="00FD0045"/>
    <w:rsid w:val="00FD506A"/>
    <w:rsid w:val="00FD549A"/>
    <w:rsid w:val="00FD7318"/>
    <w:rsid w:val="00FE63D6"/>
    <w:rsid w:val="00FF0F65"/>
    <w:rsid w:val="00FF1C33"/>
    <w:rsid w:val="00FF2CA7"/>
    <w:rsid w:val="00FF3E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D87CD3"/>
  <w15:docId w15:val="{2170D975-6A80-41F3-8F74-A3D1FCDA4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link w:val="ListParagraphChar"/>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 w:type="character" w:styleId="Hyperlink">
    <w:name w:val="Hyperlink"/>
    <w:rsid w:val="00213AA4"/>
    <w:rPr>
      <w:rFonts w:cs="Times New Roman"/>
      <w:color w:val="0000FF"/>
      <w:u w:val="single"/>
    </w:rPr>
  </w:style>
  <w:style w:type="paragraph" w:customStyle="1" w:styleId="TableParagraph">
    <w:name w:val="Table Paragraph"/>
    <w:basedOn w:val="Normal"/>
    <w:uiPriority w:val="1"/>
    <w:qFormat/>
    <w:rsid w:val="0031728D"/>
    <w:pPr>
      <w:widowControl w:val="0"/>
      <w:autoSpaceDE w:val="0"/>
      <w:autoSpaceDN w:val="0"/>
      <w:ind w:left="107"/>
    </w:pPr>
    <w:rPr>
      <w:rFonts w:ascii="Cambria" w:eastAsia="Cambria" w:hAnsi="Cambria" w:cs="Cambria"/>
      <w:sz w:val="22"/>
      <w:szCs w:val="22"/>
    </w:rPr>
  </w:style>
  <w:style w:type="character" w:customStyle="1" w:styleId="ListParagraphChar">
    <w:name w:val="List Paragraph Char"/>
    <w:link w:val="ListParagraph"/>
    <w:uiPriority w:val="34"/>
    <w:locked/>
    <w:rsid w:val="00DF3126"/>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193228721">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5562837">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533542128">
      <w:bodyDiv w:val="1"/>
      <w:marLeft w:val="0"/>
      <w:marRight w:val="0"/>
      <w:marTop w:val="0"/>
      <w:marBottom w:val="0"/>
      <w:divBdr>
        <w:top w:val="none" w:sz="0" w:space="0" w:color="auto"/>
        <w:left w:val="none" w:sz="0" w:space="0" w:color="auto"/>
        <w:bottom w:val="none" w:sz="0" w:space="0" w:color="auto"/>
        <w:right w:val="none" w:sz="0" w:space="0" w:color="auto"/>
      </w:divBdr>
    </w:div>
    <w:div w:id="611058388">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087070987">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332875847">
      <w:bodyDiv w:val="1"/>
      <w:marLeft w:val="0"/>
      <w:marRight w:val="0"/>
      <w:marTop w:val="0"/>
      <w:marBottom w:val="0"/>
      <w:divBdr>
        <w:top w:val="none" w:sz="0" w:space="0" w:color="auto"/>
        <w:left w:val="none" w:sz="0" w:space="0" w:color="auto"/>
        <w:bottom w:val="none" w:sz="0" w:space="0" w:color="auto"/>
        <w:right w:val="none" w:sz="0" w:space="0" w:color="auto"/>
      </w:divBdr>
    </w:div>
    <w:div w:id="1426615998">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69317709">
      <w:bodyDiv w:val="1"/>
      <w:marLeft w:val="0"/>
      <w:marRight w:val="0"/>
      <w:marTop w:val="0"/>
      <w:marBottom w:val="0"/>
      <w:divBdr>
        <w:top w:val="none" w:sz="0" w:space="0" w:color="auto"/>
        <w:left w:val="none" w:sz="0" w:space="0" w:color="auto"/>
        <w:bottom w:val="none" w:sz="0" w:space="0" w:color="auto"/>
        <w:right w:val="none" w:sz="0" w:space="0" w:color="auto"/>
      </w:divBdr>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058625016">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 w:id="2134671117">
      <w:bodyDiv w:val="1"/>
      <w:marLeft w:val="0"/>
      <w:marRight w:val="0"/>
      <w:marTop w:val="0"/>
      <w:marBottom w:val="0"/>
      <w:divBdr>
        <w:top w:val="none" w:sz="0" w:space="0" w:color="auto"/>
        <w:left w:val="none" w:sz="0" w:space="0" w:color="auto"/>
        <w:bottom w:val="none" w:sz="0" w:space="0" w:color="auto"/>
        <w:right w:val="none" w:sz="0" w:space="0" w:color="auto"/>
      </w:divBdr>
    </w:div>
    <w:div w:id="21393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AD85F-D72A-47AA-B450-CBD4E85FA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4</Pages>
  <Words>880</Words>
  <Characters>5020</Characters>
  <Application>Microsoft Office Word</Application>
  <DocSecurity>0</DocSecurity>
  <Lines>41</Lines>
  <Paragraphs>11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Ram Lal {Ram Lal}</cp:lastModifiedBy>
  <cp:revision>48</cp:revision>
  <cp:lastPrinted>2021-08-27T06:15:00Z</cp:lastPrinted>
  <dcterms:created xsi:type="dcterms:W3CDTF">2021-04-15T09:31:00Z</dcterms:created>
  <dcterms:modified xsi:type="dcterms:W3CDTF">2023-01-13T05:28:00Z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